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ADF7" w14:textId="5235EB28" w:rsidR="006674C4" w:rsidRPr="00697072" w:rsidRDefault="006674C4" w:rsidP="007D6091">
      <w:pPr>
        <w:spacing w:after="0" w:line="240" w:lineRule="auto"/>
        <w:ind w:firstLine="0"/>
        <w:jc w:val="both"/>
        <w:rPr>
          <w:szCs w:val="28"/>
        </w:rPr>
      </w:pPr>
    </w:p>
    <w:p w14:paraId="798B3532" w14:textId="6C84ACEE" w:rsidR="007D6091" w:rsidRPr="00697072" w:rsidRDefault="007D6091" w:rsidP="007D6091">
      <w:pPr>
        <w:spacing w:after="0" w:line="240" w:lineRule="auto"/>
        <w:ind w:firstLine="0"/>
        <w:jc w:val="both"/>
        <w:rPr>
          <w:szCs w:val="28"/>
        </w:rPr>
      </w:pPr>
    </w:p>
    <w:p w14:paraId="38EB2AB6" w14:textId="77777777" w:rsidR="007D6091" w:rsidRPr="00697072" w:rsidRDefault="007D6091" w:rsidP="007D6091">
      <w:pPr>
        <w:spacing w:after="0" w:line="240" w:lineRule="auto"/>
        <w:ind w:firstLine="0"/>
        <w:jc w:val="both"/>
        <w:rPr>
          <w:szCs w:val="28"/>
        </w:rPr>
      </w:pPr>
    </w:p>
    <w:p w14:paraId="16FD94D4" w14:textId="2CBC371B" w:rsidR="007D6091" w:rsidRPr="00697072" w:rsidRDefault="007D6091" w:rsidP="007D6091">
      <w:pPr>
        <w:tabs>
          <w:tab w:val="left" w:pos="6663"/>
        </w:tabs>
        <w:spacing w:after="0" w:line="240" w:lineRule="auto"/>
        <w:ind w:firstLine="0"/>
        <w:rPr>
          <w:rFonts w:eastAsia="Times New Roman"/>
          <w:b/>
          <w:szCs w:val="28"/>
        </w:rPr>
      </w:pPr>
      <w:r w:rsidRPr="00697072">
        <w:rPr>
          <w:rFonts w:eastAsia="Times New Roman"/>
          <w:szCs w:val="28"/>
        </w:rPr>
        <w:t xml:space="preserve">2020. gada </w:t>
      </w:r>
      <w:r w:rsidR="00B0413E">
        <w:rPr>
          <w:szCs w:val="28"/>
        </w:rPr>
        <w:t>17. decembrī</w:t>
      </w:r>
      <w:r w:rsidRPr="00697072">
        <w:rPr>
          <w:rFonts w:eastAsia="Times New Roman"/>
          <w:szCs w:val="28"/>
        </w:rPr>
        <w:tab/>
        <w:t>Noteikumi Nr.</w:t>
      </w:r>
      <w:r w:rsidR="00B0413E">
        <w:rPr>
          <w:rFonts w:eastAsia="Times New Roman"/>
          <w:szCs w:val="28"/>
        </w:rPr>
        <w:t> 780</w:t>
      </w:r>
    </w:p>
    <w:p w14:paraId="19433B72" w14:textId="29D8F14E" w:rsidR="007D6091" w:rsidRPr="00697072" w:rsidRDefault="007D6091" w:rsidP="007D6091">
      <w:pPr>
        <w:tabs>
          <w:tab w:val="left" w:pos="6663"/>
        </w:tabs>
        <w:spacing w:after="0" w:line="240" w:lineRule="auto"/>
        <w:ind w:firstLine="0"/>
        <w:rPr>
          <w:rFonts w:eastAsia="Times New Roman"/>
          <w:szCs w:val="28"/>
        </w:rPr>
      </w:pPr>
      <w:r w:rsidRPr="00697072">
        <w:rPr>
          <w:rFonts w:eastAsia="Times New Roman"/>
          <w:szCs w:val="28"/>
        </w:rPr>
        <w:t>Rīgā</w:t>
      </w:r>
      <w:r w:rsidRPr="00697072">
        <w:rPr>
          <w:rFonts w:eastAsia="Times New Roman"/>
          <w:szCs w:val="28"/>
        </w:rPr>
        <w:tab/>
        <w:t>(prot. Nr.</w:t>
      </w:r>
      <w:r w:rsidR="00B0413E">
        <w:rPr>
          <w:rFonts w:eastAsia="Times New Roman"/>
          <w:szCs w:val="28"/>
        </w:rPr>
        <w:t> 84 39</w:t>
      </w:r>
      <w:bookmarkStart w:id="0" w:name="_GoBack"/>
      <w:bookmarkEnd w:id="0"/>
      <w:r w:rsidRPr="00697072">
        <w:rPr>
          <w:rFonts w:eastAsia="Times New Roman"/>
          <w:szCs w:val="28"/>
        </w:rPr>
        <w:t>. §)</w:t>
      </w:r>
    </w:p>
    <w:p w14:paraId="1447C2EA" w14:textId="77777777" w:rsidR="00EF2F70" w:rsidRPr="00697072" w:rsidRDefault="00EF2F70" w:rsidP="00972AF2">
      <w:pPr>
        <w:spacing w:after="0" w:line="240" w:lineRule="auto"/>
        <w:ind w:firstLine="0"/>
        <w:jc w:val="both"/>
        <w:rPr>
          <w:szCs w:val="28"/>
        </w:rPr>
      </w:pPr>
    </w:p>
    <w:p w14:paraId="200D4874" w14:textId="036CCC63" w:rsidR="00EF2F70" w:rsidRPr="00697072" w:rsidRDefault="00EE757B" w:rsidP="007D6091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697072">
        <w:rPr>
          <w:rFonts w:eastAsia="Times New Roman" w:cs="Times New Roman"/>
          <w:b/>
          <w:bCs/>
          <w:szCs w:val="28"/>
          <w:lang w:eastAsia="lv-LV"/>
        </w:rPr>
        <w:t>Grozījumi Ministru kabineta 20</w:t>
      </w:r>
      <w:r w:rsidR="00525BAC" w:rsidRPr="00697072">
        <w:rPr>
          <w:rFonts w:eastAsia="Times New Roman" w:cs="Times New Roman"/>
          <w:b/>
          <w:bCs/>
          <w:szCs w:val="28"/>
          <w:lang w:eastAsia="lv-LV"/>
        </w:rPr>
        <w:t>12</w:t>
      </w:r>
      <w:r w:rsidRPr="00697072">
        <w:rPr>
          <w:rFonts w:eastAsia="Times New Roman" w:cs="Times New Roman"/>
          <w:b/>
          <w:bCs/>
          <w:szCs w:val="28"/>
          <w:lang w:eastAsia="lv-LV"/>
        </w:rPr>
        <w:t xml:space="preserve">. gada </w:t>
      </w:r>
      <w:r w:rsidR="00525BAC" w:rsidRPr="00697072">
        <w:rPr>
          <w:rFonts w:eastAsia="Times New Roman" w:cs="Times New Roman"/>
          <w:b/>
          <w:bCs/>
          <w:szCs w:val="28"/>
          <w:lang w:eastAsia="lv-LV"/>
        </w:rPr>
        <w:t>9.</w:t>
      </w:r>
      <w:r w:rsidR="00CC49AC" w:rsidRPr="00697072">
        <w:rPr>
          <w:rFonts w:eastAsia="Times New Roman" w:cs="Times New Roman"/>
          <w:b/>
          <w:bCs/>
          <w:szCs w:val="28"/>
          <w:lang w:eastAsia="lv-LV"/>
        </w:rPr>
        <w:t> </w:t>
      </w:r>
      <w:r w:rsidR="00525BAC" w:rsidRPr="00697072">
        <w:rPr>
          <w:rFonts w:eastAsia="Times New Roman" w:cs="Times New Roman"/>
          <w:b/>
          <w:bCs/>
          <w:szCs w:val="28"/>
          <w:lang w:eastAsia="lv-LV"/>
        </w:rPr>
        <w:t>oktobra</w:t>
      </w:r>
      <w:r w:rsidRPr="00697072">
        <w:rPr>
          <w:rFonts w:eastAsia="Times New Roman" w:cs="Times New Roman"/>
          <w:b/>
          <w:bCs/>
          <w:szCs w:val="28"/>
          <w:lang w:eastAsia="lv-LV"/>
        </w:rPr>
        <w:t xml:space="preserve"> noteikumos Nr. 6</w:t>
      </w:r>
      <w:r w:rsidR="00525BAC" w:rsidRPr="00697072">
        <w:rPr>
          <w:rFonts w:eastAsia="Times New Roman" w:cs="Times New Roman"/>
          <w:b/>
          <w:bCs/>
          <w:szCs w:val="28"/>
          <w:lang w:eastAsia="lv-LV"/>
        </w:rPr>
        <w:t>95</w:t>
      </w:r>
      <w:r w:rsidRPr="0069707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7D6091" w:rsidRPr="00697072">
        <w:rPr>
          <w:rFonts w:eastAsia="Times New Roman" w:cs="Times New Roman"/>
          <w:b/>
          <w:bCs/>
          <w:szCs w:val="28"/>
          <w:lang w:eastAsia="lv-LV"/>
        </w:rPr>
        <w:t>"</w:t>
      </w:r>
      <w:r w:rsidR="00525BAC" w:rsidRPr="00697072">
        <w:rPr>
          <w:rFonts w:eastAsia="Times New Roman" w:cs="Times New Roman"/>
          <w:b/>
          <w:bCs/>
          <w:szCs w:val="28"/>
          <w:lang w:eastAsia="lv-LV"/>
        </w:rPr>
        <w:t>Kārtība, kādā piešķir un finansē asistenta pakalpojumu izglītības iestādē</w:t>
      </w:r>
      <w:r w:rsidR="007D6091" w:rsidRPr="00697072">
        <w:rPr>
          <w:rFonts w:eastAsia="Times New Roman" w:cs="Times New Roman"/>
          <w:b/>
          <w:bCs/>
          <w:szCs w:val="28"/>
          <w:lang w:eastAsia="lv-LV"/>
        </w:rPr>
        <w:t>"</w:t>
      </w:r>
      <w:r w:rsidRPr="00697072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68C21C54" w14:textId="77777777" w:rsidR="00972AF2" w:rsidRPr="00697072" w:rsidRDefault="00972AF2" w:rsidP="00972AF2">
      <w:pPr>
        <w:spacing w:after="0" w:line="240" w:lineRule="auto"/>
        <w:ind w:firstLine="0"/>
        <w:jc w:val="both"/>
        <w:rPr>
          <w:szCs w:val="28"/>
        </w:rPr>
      </w:pPr>
    </w:p>
    <w:p w14:paraId="6DD17018" w14:textId="77777777" w:rsidR="00972AF2" w:rsidRPr="00697072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97072">
        <w:rPr>
          <w:rFonts w:eastAsia="Times New Roman" w:cs="Times New Roman"/>
          <w:iCs/>
          <w:szCs w:val="28"/>
          <w:lang w:eastAsia="lv-LV"/>
        </w:rPr>
        <w:t>Izdoti saskaņā ar</w:t>
      </w:r>
    </w:p>
    <w:p w14:paraId="1C752BB2" w14:textId="545BA004" w:rsidR="0016345D" w:rsidRPr="00697072" w:rsidRDefault="00525BAC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97072">
        <w:rPr>
          <w:rFonts w:eastAsia="Times New Roman" w:cs="Times New Roman"/>
          <w:iCs/>
          <w:szCs w:val="28"/>
          <w:lang w:eastAsia="lv-LV"/>
        </w:rPr>
        <w:t>Invaliditātes likuma</w:t>
      </w:r>
    </w:p>
    <w:p w14:paraId="5619FEFD" w14:textId="44CE8765" w:rsidR="00525BAC" w:rsidRPr="00697072" w:rsidRDefault="00D27656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97072">
        <w:rPr>
          <w:rFonts w:eastAsia="Times New Roman" w:cs="Times New Roman"/>
          <w:iCs/>
          <w:szCs w:val="28"/>
          <w:lang w:eastAsia="lv-LV"/>
        </w:rPr>
        <w:t xml:space="preserve">12. panta </w:t>
      </w:r>
      <w:r w:rsidR="00525BAC" w:rsidRPr="00697072">
        <w:rPr>
          <w:rFonts w:eastAsia="Times New Roman" w:cs="Times New Roman"/>
          <w:iCs/>
          <w:szCs w:val="28"/>
          <w:lang w:eastAsia="lv-LV"/>
        </w:rPr>
        <w:t xml:space="preserve">piekto un </w:t>
      </w:r>
      <w:r w:rsidR="00EF6D42" w:rsidRPr="00697072">
        <w:rPr>
          <w:rFonts w:eastAsia="Times New Roman" w:cs="Times New Roman"/>
          <w:iCs/>
          <w:szCs w:val="28"/>
          <w:lang w:eastAsia="lv-LV"/>
        </w:rPr>
        <w:t xml:space="preserve">septīto </w:t>
      </w:r>
      <w:r w:rsidR="00525BAC" w:rsidRPr="00697072">
        <w:rPr>
          <w:rFonts w:eastAsia="Times New Roman" w:cs="Times New Roman"/>
          <w:iCs/>
          <w:szCs w:val="28"/>
          <w:lang w:eastAsia="lv-LV"/>
        </w:rPr>
        <w:t>daļu</w:t>
      </w:r>
    </w:p>
    <w:p w14:paraId="79C5B514" w14:textId="77777777" w:rsidR="00972AF2" w:rsidRPr="00697072" w:rsidRDefault="00972AF2" w:rsidP="00972AF2">
      <w:pPr>
        <w:spacing w:after="0" w:line="240" w:lineRule="auto"/>
        <w:ind w:firstLine="0"/>
        <w:jc w:val="both"/>
        <w:rPr>
          <w:szCs w:val="28"/>
        </w:rPr>
      </w:pPr>
    </w:p>
    <w:p w14:paraId="28771386" w14:textId="02C76623" w:rsidR="00627D40" w:rsidRPr="00697072" w:rsidRDefault="00446A5C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1. </w:t>
      </w:r>
      <w:r w:rsidR="00EE757B" w:rsidRPr="00697072">
        <w:rPr>
          <w:rFonts w:eastAsia="Times New Roman" w:cs="Times New Roman"/>
          <w:bCs/>
          <w:szCs w:val="28"/>
          <w:lang w:eastAsia="lv-LV"/>
        </w:rPr>
        <w:t xml:space="preserve">Izdarīt Ministru kabineta </w:t>
      </w:r>
      <w:r w:rsidR="00525BAC" w:rsidRPr="00697072">
        <w:rPr>
          <w:rFonts w:eastAsia="Times New Roman" w:cs="Times New Roman"/>
          <w:bCs/>
          <w:szCs w:val="28"/>
          <w:lang w:eastAsia="lv-LV"/>
        </w:rPr>
        <w:t>2012. gada 9.</w:t>
      </w:r>
      <w:r w:rsidR="00D27656" w:rsidRPr="00697072">
        <w:rPr>
          <w:rFonts w:eastAsia="Times New Roman" w:cs="Times New Roman"/>
          <w:bCs/>
          <w:szCs w:val="28"/>
          <w:lang w:eastAsia="lv-LV"/>
        </w:rPr>
        <w:t> </w:t>
      </w:r>
      <w:r w:rsidR="00525BAC" w:rsidRPr="00697072">
        <w:rPr>
          <w:rFonts w:eastAsia="Times New Roman" w:cs="Times New Roman"/>
          <w:bCs/>
          <w:szCs w:val="28"/>
          <w:lang w:eastAsia="lv-LV"/>
        </w:rPr>
        <w:t xml:space="preserve">oktobra noteikumos Nr. 695 </w:t>
      </w:r>
      <w:r w:rsidR="007D6091" w:rsidRPr="00697072">
        <w:rPr>
          <w:rFonts w:eastAsia="Times New Roman" w:cs="Times New Roman"/>
          <w:bCs/>
          <w:szCs w:val="28"/>
          <w:lang w:eastAsia="lv-LV"/>
        </w:rPr>
        <w:t>"</w:t>
      </w:r>
      <w:r w:rsidR="00525BAC" w:rsidRPr="00697072">
        <w:rPr>
          <w:rFonts w:eastAsia="Times New Roman" w:cs="Times New Roman"/>
          <w:bCs/>
          <w:szCs w:val="28"/>
          <w:lang w:eastAsia="lv-LV"/>
        </w:rPr>
        <w:t>Kārtība, kādā piešķir un finansē asistenta pakalpojumu izglītības iestādē</w:t>
      </w:r>
      <w:r w:rsidR="007D6091" w:rsidRPr="00697072">
        <w:rPr>
          <w:rFonts w:eastAsia="Times New Roman" w:cs="Times New Roman"/>
          <w:bCs/>
          <w:szCs w:val="28"/>
          <w:lang w:eastAsia="lv-LV"/>
        </w:rPr>
        <w:t>"</w:t>
      </w:r>
      <w:r w:rsidR="00525BAC" w:rsidRPr="0069707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E757B" w:rsidRPr="00697072">
        <w:rPr>
          <w:rFonts w:eastAsia="Times New Roman" w:cs="Times New Roman"/>
          <w:bCs/>
          <w:szCs w:val="28"/>
          <w:lang w:eastAsia="lv-LV"/>
        </w:rPr>
        <w:t>(Latvijas Vēstnesis, 20</w:t>
      </w:r>
      <w:r w:rsidR="00525BAC" w:rsidRPr="00697072">
        <w:rPr>
          <w:rFonts w:eastAsia="Times New Roman" w:cs="Times New Roman"/>
          <w:bCs/>
          <w:szCs w:val="28"/>
          <w:lang w:eastAsia="lv-LV"/>
        </w:rPr>
        <w:t>12</w:t>
      </w:r>
      <w:r w:rsidR="00EE757B" w:rsidRPr="00697072">
        <w:rPr>
          <w:rFonts w:eastAsia="Times New Roman" w:cs="Times New Roman"/>
          <w:bCs/>
          <w:szCs w:val="28"/>
          <w:lang w:eastAsia="lv-LV"/>
        </w:rPr>
        <w:t xml:space="preserve">, </w:t>
      </w:r>
      <w:r w:rsidR="00525BAC" w:rsidRPr="00697072">
        <w:rPr>
          <w:rFonts w:eastAsia="Times New Roman" w:cs="Times New Roman"/>
          <w:bCs/>
          <w:szCs w:val="28"/>
          <w:lang w:eastAsia="lv-LV"/>
        </w:rPr>
        <w:t>164</w:t>
      </w:r>
      <w:r w:rsidR="00EE757B" w:rsidRPr="00697072">
        <w:rPr>
          <w:rFonts w:eastAsia="Times New Roman" w:cs="Times New Roman"/>
          <w:bCs/>
          <w:szCs w:val="28"/>
          <w:lang w:eastAsia="lv-LV"/>
        </w:rPr>
        <w:t>. nr.</w:t>
      </w:r>
      <w:r w:rsidR="006674C4" w:rsidRPr="00697072">
        <w:rPr>
          <w:rFonts w:eastAsia="Times New Roman" w:cs="Times New Roman"/>
          <w:bCs/>
          <w:szCs w:val="28"/>
          <w:lang w:eastAsia="lv-LV"/>
        </w:rPr>
        <w:t>;</w:t>
      </w:r>
      <w:r w:rsidR="00B94809" w:rsidRPr="00697072">
        <w:rPr>
          <w:rFonts w:eastAsia="Times New Roman" w:cs="Times New Roman"/>
          <w:bCs/>
          <w:szCs w:val="28"/>
          <w:lang w:eastAsia="lv-LV"/>
        </w:rPr>
        <w:t xml:space="preserve"> 2013, 218. nr.</w:t>
      </w:r>
      <w:r w:rsidR="00EE757B" w:rsidRPr="00697072">
        <w:rPr>
          <w:rFonts w:eastAsia="Times New Roman" w:cs="Times New Roman"/>
          <w:bCs/>
          <w:szCs w:val="28"/>
          <w:lang w:eastAsia="lv-LV"/>
        </w:rPr>
        <w:t>) šādus grozījumus:</w:t>
      </w:r>
    </w:p>
    <w:p w14:paraId="6274CE9E" w14:textId="548D4B6F" w:rsidR="00AA4EF8" w:rsidRPr="00697072" w:rsidRDefault="00F84E28" w:rsidP="00972AF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1.1.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> </w:t>
      </w:r>
      <w:r w:rsidR="00446A5C" w:rsidRPr="00697072">
        <w:rPr>
          <w:rFonts w:eastAsia="Times New Roman" w:cs="Times New Roman"/>
          <w:bCs/>
          <w:szCs w:val="28"/>
          <w:lang w:eastAsia="lv-LV"/>
        </w:rPr>
        <w:t>i</w:t>
      </w:r>
      <w:r w:rsidR="00AA4EF8" w:rsidRPr="00697072">
        <w:rPr>
          <w:rFonts w:eastAsia="Times New Roman" w:cs="Times New Roman"/>
          <w:bCs/>
          <w:szCs w:val="28"/>
          <w:lang w:eastAsia="lv-LV"/>
        </w:rPr>
        <w:t>zteikt 10.</w:t>
      </w:r>
      <w:r w:rsidR="00DD27E9" w:rsidRPr="00697072">
        <w:rPr>
          <w:rFonts w:eastAsia="Times New Roman" w:cs="Times New Roman"/>
          <w:bCs/>
          <w:szCs w:val="28"/>
          <w:lang w:eastAsia="lv-LV"/>
        </w:rPr>
        <w:t>2. apakšpunktu</w:t>
      </w:r>
      <w:r w:rsidR="00AA4EF8" w:rsidRPr="00697072">
        <w:rPr>
          <w:rFonts w:eastAsia="Times New Roman" w:cs="Times New Roman"/>
          <w:bCs/>
          <w:szCs w:val="28"/>
          <w:lang w:eastAsia="lv-LV"/>
        </w:rPr>
        <w:t xml:space="preserve"> šādā redakcijā:</w:t>
      </w:r>
    </w:p>
    <w:p w14:paraId="3627700C" w14:textId="77777777" w:rsidR="00AA4EF8" w:rsidRPr="00697072" w:rsidRDefault="00AA4EF8" w:rsidP="00972AF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</w:p>
    <w:p w14:paraId="16E358B0" w14:textId="1100E54A" w:rsidR="00AA4EF8" w:rsidRPr="00697072" w:rsidRDefault="007D6091" w:rsidP="00972A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697072">
        <w:rPr>
          <w:bCs/>
          <w:iCs/>
          <w:sz w:val="28"/>
          <w:szCs w:val="28"/>
        </w:rPr>
        <w:t>"</w:t>
      </w:r>
      <w:r w:rsidR="00AA4EF8" w:rsidRPr="00697072">
        <w:rPr>
          <w:bCs/>
          <w:iCs/>
          <w:sz w:val="28"/>
          <w:szCs w:val="28"/>
        </w:rPr>
        <w:t>10.2.</w:t>
      </w:r>
      <w:r w:rsidR="00546374" w:rsidRPr="00697072">
        <w:rPr>
          <w:bCs/>
          <w:iCs/>
          <w:sz w:val="28"/>
          <w:szCs w:val="28"/>
        </w:rPr>
        <w:t> </w:t>
      </w:r>
      <w:bookmarkStart w:id="1" w:name="_Hlk58930419"/>
      <w:r w:rsidR="00BF01E4" w:rsidRPr="00697072">
        <w:rPr>
          <w:sz w:val="28"/>
          <w:szCs w:val="28"/>
        </w:rPr>
        <w:t xml:space="preserve">asistenta </w:t>
      </w:r>
      <w:r w:rsidR="00C6241A" w:rsidRPr="00697072">
        <w:rPr>
          <w:sz w:val="28"/>
          <w:szCs w:val="28"/>
        </w:rPr>
        <w:t xml:space="preserve">pakalpojuma </w:t>
      </w:r>
      <w:r w:rsidR="00F57C36" w:rsidRPr="00697072">
        <w:rPr>
          <w:sz w:val="28"/>
          <w:szCs w:val="28"/>
        </w:rPr>
        <w:t xml:space="preserve">izcenojums </w:t>
      </w:r>
      <w:r w:rsidR="00BF01E4" w:rsidRPr="00697072">
        <w:rPr>
          <w:sz w:val="28"/>
          <w:szCs w:val="28"/>
        </w:rPr>
        <w:t>viena</w:t>
      </w:r>
      <w:r w:rsidR="00F57C36" w:rsidRPr="00697072">
        <w:rPr>
          <w:sz w:val="28"/>
          <w:szCs w:val="28"/>
        </w:rPr>
        <w:t>i</w:t>
      </w:r>
      <w:r w:rsidR="00BF01E4" w:rsidRPr="00697072">
        <w:rPr>
          <w:sz w:val="28"/>
          <w:szCs w:val="28"/>
        </w:rPr>
        <w:t xml:space="preserve"> </w:t>
      </w:r>
      <w:r w:rsidR="00F57C36" w:rsidRPr="00697072">
        <w:rPr>
          <w:sz w:val="28"/>
          <w:szCs w:val="28"/>
        </w:rPr>
        <w:t xml:space="preserve">stundai </w:t>
      </w:r>
      <w:bookmarkEnd w:id="1"/>
      <w:r w:rsidR="00BF01E4" w:rsidRPr="00697072">
        <w:rPr>
          <w:sz w:val="28"/>
          <w:szCs w:val="28"/>
        </w:rPr>
        <w:t>(1. pielikums);</w:t>
      </w:r>
      <w:r w:rsidRPr="00697072">
        <w:rPr>
          <w:bCs/>
          <w:iCs/>
          <w:sz w:val="28"/>
          <w:szCs w:val="28"/>
        </w:rPr>
        <w:t>"</w:t>
      </w:r>
      <w:r w:rsidR="00446A5C" w:rsidRPr="00697072">
        <w:rPr>
          <w:bCs/>
          <w:iCs/>
          <w:sz w:val="28"/>
          <w:szCs w:val="28"/>
        </w:rPr>
        <w:t>;</w:t>
      </w:r>
      <w:r w:rsidR="00DD27E9" w:rsidRPr="00697072">
        <w:rPr>
          <w:bCs/>
          <w:iCs/>
          <w:sz w:val="28"/>
          <w:szCs w:val="28"/>
        </w:rPr>
        <w:t xml:space="preserve"> </w:t>
      </w:r>
    </w:p>
    <w:p w14:paraId="4A8CBC86" w14:textId="14294875" w:rsidR="00DD27E9" w:rsidRPr="00697072" w:rsidRDefault="00DD27E9" w:rsidP="00972A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  <w:u w:val="single"/>
        </w:rPr>
      </w:pPr>
    </w:p>
    <w:p w14:paraId="0ECD79F0" w14:textId="4D8C8C1C" w:rsidR="00DD27E9" w:rsidRPr="00697072" w:rsidRDefault="00446A5C" w:rsidP="00972A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697072">
        <w:rPr>
          <w:bCs/>
          <w:iCs/>
          <w:sz w:val="28"/>
          <w:szCs w:val="28"/>
        </w:rPr>
        <w:t>1.</w:t>
      </w:r>
      <w:r w:rsidR="002C5187" w:rsidRPr="00697072">
        <w:rPr>
          <w:bCs/>
          <w:iCs/>
          <w:sz w:val="28"/>
          <w:szCs w:val="28"/>
        </w:rPr>
        <w:t>2</w:t>
      </w:r>
      <w:r w:rsidR="00DD27E9" w:rsidRPr="00697072">
        <w:rPr>
          <w:bCs/>
          <w:iCs/>
          <w:sz w:val="28"/>
          <w:szCs w:val="28"/>
        </w:rPr>
        <w:t>. </w:t>
      </w:r>
      <w:r w:rsidRPr="00697072">
        <w:rPr>
          <w:bCs/>
          <w:iCs/>
          <w:sz w:val="28"/>
          <w:szCs w:val="28"/>
        </w:rPr>
        <w:t>i</w:t>
      </w:r>
      <w:r w:rsidR="00DD27E9" w:rsidRPr="00697072">
        <w:rPr>
          <w:bCs/>
          <w:iCs/>
          <w:sz w:val="28"/>
          <w:szCs w:val="28"/>
        </w:rPr>
        <w:t xml:space="preserve">zteikt 10.4. apakšpunktu šādā redakcijā: </w:t>
      </w:r>
    </w:p>
    <w:p w14:paraId="262F14EB" w14:textId="77777777" w:rsidR="00DD27E9" w:rsidRPr="00697072" w:rsidRDefault="00DD27E9" w:rsidP="00972A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  <w:u w:val="single"/>
        </w:rPr>
      </w:pPr>
    </w:p>
    <w:p w14:paraId="63C22F0A" w14:textId="619A9583" w:rsidR="001A7006" w:rsidRPr="00697072" w:rsidRDefault="007D6091" w:rsidP="00972AF2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97072">
        <w:rPr>
          <w:bCs/>
          <w:sz w:val="28"/>
          <w:szCs w:val="28"/>
        </w:rPr>
        <w:t>"</w:t>
      </w:r>
      <w:r w:rsidR="00AA4EF8" w:rsidRPr="00697072">
        <w:rPr>
          <w:bCs/>
          <w:sz w:val="28"/>
          <w:szCs w:val="28"/>
        </w:rPr>
        <w:t>10.4.</w:t>
      </w:r>
      <w:r w:rsidR="00DD27E9" w:rsidRPr="00697072">
        <w:rPr>
          <w:bCs/>
          <w:sz w:val="28"/>
          <w:szCs w:val="28"/>
        </w:rPr>
        <w:t> </w:t>
      </w:r>
      <w:r w:rsidR="00AA4EF8" w:rsidRPr="00697072">
        <w:rPr>
          <w:bCs/>
          <w:sz w:val="28"/>
          <w:szCs w:val="28"/>
        </w:rPr>
        <w:t>mācību dienu skaitu</w:t>
      </w:r>
      <w:r w:rsidR="00345DA0" w:rsidRPr="00697072">
        <w:rPr>
          <w:bCs/>
          <w:sz w:val="28"/>
          <w:szCs w:val="28"/>
        </w:rPr>
        <w:t xml:space="preserve"> attiecīgajā mācību gadā</w:t>
      </w:r>
      <w:r w:rsidR="0023243B" w:rsidRPr="00697072">
        <w:rPr>
          <w:bCs/>
          <w:sz w:val="28"/>
          <w:szCs w:val="28"/>
        </w:rPr>
        <w:t>, ja izglītojamā persona apgūst vispārējās pamatizglītības vai vispārējās vidējās izglītības programmu, vai darba dienu skaitu</w:t>
      </w:r>
      <w:r w:rsidR="00FD4763" w:rsidRPr="00697072">
        <w:rPr>
          <w:bCs/>
          <w:sz w:val="28"/>
          <w:szCs w:val="28"/>
        </w:rPr>
        <w:t xml:space="preserve"> attiecīg</w:t>
      </w:r>
      <w:r w:rsidR="00863204" w:rsidRPr="00697072">
        <w:rPr>
          <w:bCs/>
          <w:sz w:val="28"/>
          <w:szCs w:val="28"/>
        </w:rPr>
        <w:t>aj</w:t>
      </w:r>
      <w:r w:rsidR="00FD4763" w:rsidRPr="00697072">
        <w:rPr>
          <w:bCs/>
          <w:sz w:val="28"/>
          <w:szCs w:val="28"/>
        </w:rPr>
        <w:t xml:space="preserve">ā </w:t>
      </w:r>
      <w:r w:rsidR="00863204" w:rsidRPr="00697072">
        <w:rPr>
          <w:bCs/>
          <w:sz w:val="28"/>
          <w:szCs w:val="28"/>
        </w:rPr>
        <w:t>kalendāra gadā</w:t>
      </w:r>
      <w:r w:rsidR="0023243B" w:rsidRPr="00697072">
        <w:rPr>
          <w:bCs/>
          <w:sz w:val="28"/>
          <w:szCs w:val="28"/>
        </w:rPr>
        <w:t xml:space="preserve">, ja izglītojamā persona apgūst </w:t>
      </w:r>
      <w:r w:rsidR="00345DA0" w:rsidRPr="00697072">
        <w:rPr>
          <w:bCs/>
          <w:sz w:val="28"/>
          <w:szCs w:val="28"/>
        </w:rPr>
        <w:t>pi</w:t>
      </w:r>
      <w:r w:rsidR="00E96704" w:rsidRPr="00697072">
        <w:rPr>
          <w:bCs/>
          <w:sz w:val="28"/>
          <w:szCs w:val="28"/>
        </w:rPr>
        <w:t>rm</w:t>
      </w:r>
      <w:r w:rsidR="0023243B" w:rsidRPr="00697072">
        <w:rPr>
          <w:bCs/>
          <w:sz w:val="28"/>
          <w:szCs w:val="28"/>
        </w:rPr>
        <w:t>s</w:t>
      </w:r>
      <w:r w:rsidR="00E96704" w:rsidRPr="00697072">
        <w:rPr>
          <w:bCs/>
          <w:sz w:val="28"/>
          <w:szCs w:val="28"/>
        </w:rPr>
        <w:t>skolas izglītības</w:t>
      </w:r>
      <w:r w:rsidR="0023243B" w:rsidRPr="00697072">
        <w:rPr>
          <w:bCs/>
          <w:sz w:val="28"/>
          <w:szCs w:val="28"/>
        </w:rPr>
        <w:t xml:space="preserve">, </w:t>
      </w:r>
      <w:r w:rsidR="00345DA0" w:rsidRPr="00697072">
        <w:rPr>
          <w:bCs/>
          <w:sz w:val="28"/>
          <w:szCs w:val="28"/>
        </w:rPr>
        <w:t>profesionālās pamatizglītības, arodizglītības</w:t>
      </w:r>
      <w:r w:rsidR="00E11167" w:rsidRPr="00697072">
        <w:rPr>
          <w:bCs/>
          <w:sz w:val="28"/>
          <w:szCs w:val="28"/>
        </w:rPr>
        <w:t xml:space="preserve"> vai</w:t>
      </w:r>
      <w:r w:rsidR="0023243B" w:rsidRPr="00697072">
        <w:rPr>
          <w:bCs/>
          <w:sz w:val="28"/>
          <w:szCs w:val="28"/>
        </w:rPr>
        <w:t xml:space="preserve"> </w:t>
      </w:r>
      <w:r w:rsidR="00345DA0" w:rsidRPr="00697072">
        <w:rPr>
          <w:bCs/>
          <w:sz w:val="28"/>
          <w:szCs w:val="28"/>
        </w:rPr>
        <w:t xml:space="preserve">profesionālās vidējās izglītības </w:t>
      </w:r>
      <w:r w:rsidR="0023243B" w:rsidRPr="00697072">
        <w:rPr>
          <w:bCs/>
          <w:sz w:val="28"/>
          <w:szCs w:val="28"/>
        </w:rPr>
        <w:t>programmu</w:t>
      </w:r>
      <w:r w:rsidR="00E11167" w:rsidRPr="00697072">
        <w:rPr>
          <w:bCs/>
          <w:sz w:val="28"/>
          <w:szCs w:val="28"/>
        </w:rPr>
        <w:t>;</w:t>
      </w:r>
      <w:r w:rsidRPr="00697072">
        <w:rPr>
          <w:bCs/>
          <w:sz w:val="28"/>
          <w:szCs w:val="28"/>
        </w:rPr>
        <w:t>"</w:t>
      </w:r>
      <w:r w:rsidR="00446A5C" w:rsidRPr="00697072">
        <w:rPr>
          <w:bCs/>
          <w:sz w:val="28"/>
          <w:szCs w:val="28"/>
        </w:rPr>
        <w:t>;</w:t>
      </w:r>
    </w:p>
    <w:p w14:paraId="6EBCD0C3" w14:textId="77777777" w:rsidR="00E11167" w:rsidRPr="00697072" w:rsidRDefault="00E11167" w:rsidP="00972AF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</w:p>
    <w:p w14:paraId="2B938EF1" w14:textId="1FD598D1" w:rsidR="00DF13C3" w:rsidRPr="00697072" w:rsidRDefault="00446A5C" w:rsidP="00972AF2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1.</w:t>
      </w:r>
      <w:r w:rsidR="002C5187" w:rsidRPr="00697072">
        <w:rPr>
          <w:rFonts w:eastAsia="Times New Roman" w:cs="Times New Roman"/>
          <w:bCs/>
          <w:szCs w:val="28"/>
          <w:lang w:eastAsia="lv-LV"/>
        </w:rPr>
        <w:t>3.</w:t>
      </w:r>
      <w:r w:rsidR="00D46D7B" w:rsidRPr="00697072">
        <w:rPr>
          <w:rFonts w:eastAsia="Times New Roman" w:cs="Times New Roman"/>
          <w:bCs/>
          <w:szCs w:val="28"/>
          <w:lang w:eastAsia="lv-LV"/>
        </w:rPr>
        <w:t> </w:t>
      </w:r>
      <w:r w:rsidR="005D045F" w:rsidRPr="00697072">
        <w:rPr>
          <w:rFonts w:eastAsia="Times New Roman" w:cs="Times New Roman"/>
          <w:bCs/>
          <w:szCs w:val="28"/>
          <w:lang w:eastAsia="lv-LV"/>
        </w:rPr>
        <w:t xml:space="preserve">svītrot </w:t>
      </w:r>
      <w:r w:rsidR="00913303" w:rsidRPr="00697072">
        <w:rPr>
          <w:rFonts w:eastAsia="Times New Roman" w:cs="Times New Roman"/>
          <w:bCs/>
          <w:szCs w:val="28"/>
          <w:lang w:eastAsia="lv-LV"/>
        </w:rPr>
        <w:t>11.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> </w:t>
      </w:r>
      <w:r w:rsidR="00913303" w:rsidRPr="00697072">
        <w:rPr>
          <w:rFonts w:eastAsia="Times New Roman" w:cs="Times New Roman"/>
          <w:bCs/>
          <w:szCs w:val="28"/>
          <w:lang w:eastAsia="lv-LV"/>
        </w:rPr>
        <w:t xml:space="preserve">punktā vārdus </w:t>
      </w:r>
      <w:r w:rsidR="007D6091" w:rsidRPr="00697072">
        <w:rPr>
          <w:rFonts w:eastAsia="Times New Roman" w:cs="Times New Roman"/>
          <w:bCs/>
          <w:szCs w:val="28"/>
          <w:lang w:eastAsia="lv-LV"/>
        </w:rPr>
        <w:t>"</w:t>
      </w:r>
      <w:r w:rsidR="00913303" w:rsidRPr="00697072">
        <w:rPr>
          <w:rFonts w:eastAsia="Times New Roman" w:cs="Times New Roman"/>
          <w:bCs/>
          <w:szCs w:val="28"/>
          <w:lang w:eastAsia="lv-LV"/>
        </w:rPr>
        <w:t>novada vai republikas pilsētas</w:t>
      </w:r>
      <w:r w:rsidR="007D6091" w:rsidRPr="00697072">
        <w:rPr>
          <w:rFonts w:eastAsia="Times New Roman" w:cs="Times New Roman"/>
          <w:bCs/>
          <w:szCs w:val="28"/>
          <w:lang w:eastAsia="lv-LV"/>
        </w:rPr>
        <w:t>"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>;</w:t>
      </w:r>
    </w:p>
    <w:p w14:paraId="23B47E98" w14:textId="762DD55F" w:rsidR="00F92B24" w:rsidRPr="00697072" w:rsidRDefault="00F92B24" w:rsidP="00972AF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1.4.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> </w:t>
      </w:r>
      <w:r w:rsidRPr="00697072">
        <w:rPr>
          <w:rFonts w:eastAsia="Times New Roman" w:cs="Times New Roman"/>
          <w:bCs/>
          <w:szCs w:val="28"/>
          <w:lang w:eastAsia="lv-LV"/>
        </w:rPr>
        <w:t>izteikt 12. punkta ievaddaļu šādā redakcijā:</w:t>
      </w:r>
    </w:p>
    <w:p w14:paraId="3C7F9129" w14:textId="529EFFD2" w:rsidR="00F92B24" w:rsidRPr="00697072" w:rsidRDefault="00F92B24" w:rsidP="00972AF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</w:p>
    <w:p w14:paraId="38C8F97A" w14:textId="4B1A222A" w:rsidR="00F92B24" w:rsidRPr="00697072" w:rsidRDefault="007D6091" w:rsidP="00972AF2">
      <w:pPr>
        <w:pStyle w:val="ListParagraph"/>
        <w:spacing w:after="0" w:line="240" w:lineRule="auto"/>
        <w:ind w:left="0"/>
        <w:jc w:val="both"/>
        <w:rPr>
          <w:szCs w:val="28"/>
          <w:lang w:eastAsia="lv-LV"/>
        </w:rPr>
      </w:pPr>
      <w:r w:rsidRPr="00815324">
        <w:rPr>
          <w:rFonts w:eastAsia="Times New Roman" w:cs="Times New Roman"/>
          <w:bCs/>
          <w:spacing w:val="-2"/>
          <w:szCs w:val="28"/>
          <w:lang w:eastAsia="lv-LV"/>
        </w:rPr>
        <w:t>"</w:t>
      </w:r>
      <w:r w:rsidR="00F92B24" w:rsidRPr="00815324">
        <w:rPr>
          <w:rFonts w:eastAsia="Times New Roman" w:cs="Times New Roman"/>
          <w:bCs/>
          <w:spacing w:val="-2"/>
          <w:szCs w:val="28"/>
          <w:lang w:eastAsia="lv-LV"/>
        </w:rPr>
        <w:t>12.</w:t>
      </w:r>
      <w:r w:rsidR="00C10417" w:rsidRPr="00815324">
        <w:rPr>
          <w:rFonts w:eastAsia="Times New Roman" w:cs="Times New Roman"/>
          <w:bCs/>
          <w:spacing w:val="-2"/>
          <w:szCs w:val="28"/>
          <w:lang w:eastAsia="lv-LV"/>
        </w:rPr>
        <w:t> </w:t>
      </w:r>
      <w:r w:rsidR="00D46D7B" w:rsidRPr="00815324">
        <w:rPr>
          <w:rFonts w:eastAsia="Times New Roman" w:cs="Times New Roman"/>
          <w:bCs/>
          <w:spacing w:val="-2"/>
          <w:szCs w:val="28"/>
          <w:lang w:eastAsia="lv-LV"/>
        </w:rPr>
        <w:t>Ministrija veic avansa maksājumu 80 procentu apmērā no finansējuma,</w:t>
      </w:r>
      <w:r w:rsidR="00D46D7B" w:rsidRPr="00697072">
        <w:rPr>
          <w:rFonts w:eastAsia="Times New Roman" w:cs="Times New Roman"/>
          <w:bCs/>
          <w:szCs w:val="28"/>
          <w:lang w:eastAsia="lv-LV"/>
        </w:rPr>
        <w:t xml:space="preserve"> kas aprēķināts atbilstoši šo noteikumu 10. punktam. Avansa maksājumu pārskaita:</w:t>
      </w:r>
      <w:r w:rsidRPr="00697072">
        <w:rPr>
          <w:rFonts w:eastAsia="Times New Roman" w:cs="Times New Roman"/>
          <w:bCs/>
          <w:szCs w:val="28"/>
          <w:lang w:eastAsia="lv-LV"/>
        </w:rPr>
        <w:t>"</w:t>
      </w:r>
      <w:r w:rsidR="00D46D7B" w:rsidRPr="00697072">
        <w:rPr>
          <w:rFonts w:eastAsia="Times New Roman" w:cs="Times New Roman"/>
          <w:bCs/>
          <w:szCs w:val="28"/>
          <w:lang w:eastAsia="lv-LV"/>
        </w:rPr>
        <w:t>;</w:t>
      </w:r>
    </w:p>
    <w:p w14:paraId="64B215C6" w14:textId="77777777" w:rsidR="005D045F" w:rsidRPr="00697072" w:rsidRDefault="005D045F" w:rsidP="005D045F">
      <w:p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6E0CF627" w14:textId="205DD118" w:rsidR="00F5498F" w:rsidRPr="00697072" w:rsidRDefault="00446A5C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1.</w:t>
      </w:r>
      <w:r w:rsidR="00662DE2" w:rsidRPr="00697072">
        <w:rPr>
          <w:rFonts w:eastAsia="Times New Roman" w:cs="Times New Roman"/>
          <w:bCs/>
          <w:szCs w:val="28"/>
          <w:lang w:eastAsia="lv-LV"/>
        </w:rPr>
        <w:t>5</w:t>
      </w:r>
      <w:r w:rsidR="00B94809" w:rsidRPr="00697072">
        <w:rPr>
          <w:rFonts w:eastAsia="Times New Roman" w:cs="Times New Roman"/>
          <w:bCs/>
          <w:szCs w:val="28"/>
          <w:lang w:eastAsia="lv-LV"/>
        </w:rPr>
        <w:t>. </w:t>
      </w:r>
      <w:r w:rsidRPr="00697072">
        <w:rPr>
          <w:rFonts w:eastAsia="Times New Roman" w:cs="Times New Roman"/>
          <w:bCs/>
          <w:szCs w:val="28"/>
          <w:lang w:eastAsia="lv-LV"/>
        </w:rPr>
        <w:t>i</w:t>
      </w:r>
      <w:r w:rsidR="00F5498F" w:rsidRPr="00697072">
        <w:rPr>
          <w:rFonts w:eastAsia="Times New Roman" w:cs="Times New Roman"/>
          <w:bCs/>
          <w:szCs w:val="28"/>
          <w:lang w:eastAsia="lv-LV"/>
        </w:rPr>
        <w:t xml:space="preserve">zteikt </w:t>
      </w:r>
      <w:r w:rsidR="00B94809" w:rsidRPr="00697072">
        <w:rPr>
          <w:rFonts w:eastAsia="Times New Roman" w:cs="Times New Roman"/>
          <w:bCs/>
          <w:szCs w:val="28"/>
          <w:lang w:eastAsia="lv-LV"/>
        </w:rPr>
        <w:t>13. punkta ievaddaļ</w:t>
      </w:r>
      <w:r w:rsidR="00F5498F" w:rsidRPr="00697072">
        <w:rPr>
          <w:rFonts w:eastAsia="Times New Roman" w:cs="Times New Roman"/>
          <w:bCs/>
          <w:szCs w:val="28"/>
          <w:lang w:eastAsia="lv-LV"/>
        </w:rPr>
        <w:t xml:space="preserve">u šādā redakcijā: </w:t>
      </w:r>
    </w:p>
    <w:p w14:paraId="3F6FFC09" w14:textId="77777777" w:rsidR="00F5498F" w:rsidRPr="00815324" w:rsidRDefault="00F5498F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pacing w:val="-2"/>
          <w:sz w:val="24"/>
          <w:szCs w:val="24"/>
          <w:lang w:eastAsia="lv-LV"/>
        </w:rPr>
      </w:pPr>
    </w:p>
    <w:p w14:paraId="179E5D03" w14:textId="605457C6" w:rsidR="00F5498F" w:rsidRPr="00697072" w:rsidRDefault="007D6091" w:rsidP="00972AF2">
      <w:pPr>
        <w:spacing w:after="0" w:line="240" w:lineRule="auto"/>
        <w:contextualSpacing/>
        <w:jc w:val="both"/>
        <w:rPr>
          <w:szCs w:val="28"/>
          <w:u w:val="single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"</w:t>
      </w:r>
      <w:r w:rsidR="00F5498F" w:rsidRPr="00697072">
        <w:rPr>
          <w:rFonts w:eastAsia="Times New Roman" w:cs="Times New Roman"/>
          <w:bCs/>
          <w:szCs w:val="28"/>
          <w:lang w:eastAsia="lv-LV"/>
        </w:rPr>
        <w:t>13. </w:t>
      </w:r>
      <w:r w:rsidR="00F5498F" w:rsidRPr="00697072">
        <w:rPr>
          <w:szCs w:val="28"/>
          <w:lang w:eastAsia="lv-LV"/>
        </w:rPr>
        <w:t>Pašvaldības</w:t>
      </w:r>
      <w:r w:rsidR="009F07C0" w:rsidRPr="00697072">
        <w:rPr>
          <w:szCs w:val="28"/>
          <w:lang w:eastAsia="lv-LV"/>
        </w:rPr>
        <w:t>, valsts dibinātās izglītības iestādes</w:t>
      </w:r>
      <w:r w:rsidR="00DE3524" w:rsidRPr="00697072">
        <w:rPr>
          <w:szCs w:val="28"/>
          <w:lang w:eastAsia="lv-LV"/>
        </w:rPr>
        <w:t xml:space="preserve"> </w:t>
      </w:r>
      <w:r w:rsidR="00F5498F" w:rsidRPr="00697072">
        <w:rPr>
          <w:szCs w:val="28"/>
          <w:lang w:eastAsia="lv-LV"/>
        </w:rPr>
        <w:t xml:space="preserve">un </w:t>
      </w:r>
      <w:r w:rsidR="001C5AE6" w:rsidRPr="00697072">
        <w:rPr>
          <w:szCs w:val="28"/>
          <w:lang w:eastAsia="lv-LV"/>
        </w:rPr>
        <w:t xml:space="preserve">privātās </w:t>
      </w:r>
      <w:r w:rsidR="00F5498F" w:rsidRPr="00697072">
        <w:rPr>
          <w:szCs w:val="28"/>
          <w:lang w:eastAsia="lv-LV"/>
        </w:rPr>
        <w:t>izglītības iestādes pārskatu par piešķirto valsts budžeta līdzekļu izlietojumu asistenta pakalpojuma nodrošināšanai (</w:t>
      </w:r>
      <w:r w:rsidR="008F60B3" w:rsidRPr="00697072">
        <w:rPr>
          <w:szCs w:val="28"/>
          <w:lang w:eastAsia="lv-LV"/>
        </w:rPr>
        <w:t>turpmāk </w:t>
      </w:r>
      <w:r w:rsidR="00F5498F" w:rsidRPr="00697072">
        <w:rPr>
          <w:szCs w:val="28"/>
          <w:lang w:eastAsia="lv-LV"/>
        </w:rPr>
        <w:t>– pārskats) (2. </w:t>
      </w:r>
      <w:hyperlink r:id="rId8" w:anchor="piel0" w:history="1">
        <w:r w:rsidR="00F5498F" w:rsidRPr="00697072">
          <w:rPr>
            <w:szCs w:val="28"/>
            <w:lang w:eastAsia="lv-LV"/>
          </w:rPr>
          <w:t>pielikums</w:t>
        </w:r>
      </w:hyperlink>
      <w:r w:rsidR="00F5498F" w:rsidRPr="00697072">
        <w:rPr>
          <w:szCs w:val="28"/>
          <w:lang w:eastAsia="lv-LV"/>
        </w:rPr>
        <w:t>) iesniedz šādā kārtībā:</w:t>
      </w:r>
      <w:r w:rsidRPr="00697072">
        <w:rPr>
          <w:szCs w:val="28"/>
          <w:lang w:eastAsia="lv-LV"/>
        </w:rPr>
        <w:t>"</w:t>
      </w:r>
      <w:r w:rsidR="00446A5C" w:rsidRPr="00697072">
        <w:rPr>
          <w:szCs w:val="28"/>
          <w:lang w:eastAsia="lv-LV"/>
        </w:rPr>
        <w:t>;</w:t>
      </w:r>
      <w:r w:rsidR="00B94809" w:rsidRPr="00697072">
        <w:rPr>
          <w:szCs w:val="28"/>
          <w:u w:val="single"/>
          <w:lang w:eastAsia="lv-LV"/>
        </w:rPr>
        <w:t xml:space="preserve"> </w:t>
      </w:r>
    </w:p>
    <w:p w14:paraId="3CACD26A" w14:textId="77777777" w:rsidR="00F5498F" w:rsidRPr="00815324" w:rsidRDefault="00F5498F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692C22F5" w14:textId="3C0BF522" w:rsidR="001A7006" w:rsidRPr="00697072" w:rsidRDefault="00446A5C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lastRenderedPageBreak/>
        <w:t>1.</w:t>
      </w:r>
      <w:r w:rsidR="00662DE2" w:rsidRPr="00697072">
        <w:rPr>
          <w:rFonts w:eastAsia="Times New Roman" w:cs="Times New Roman"/>
          <w:bCs/>
          <w:szCs w:val="28"/>
          <w:lang w:eastAsia="lv-LV"/>
        </w:rPr>
        <w:t>6</w:t>
      </w:r>
      <w:r w:rsidR="002C5187" w:rsidRPr="00697072">
        <w:rPr>
          <w:rFonts w:eastAsia="Times New Roman" w:cs="Times New Roman"/>
          <w:bCs/>
          <w:szCs w:val="28"/>
          <w:lang w:eastAsia="lv-LV"/>
        </w:rPr>
        <w:t>.</w:t>
      </w:r>
      <w:r w:rsidR="001A7006" w:rsidRPr="00697072">
        <w:rPr>
          <w:rFonts w:eastAsia="Times New Roman" w:cs="Times New Roman"/>
          <w:bCs/>
          <w:szCs w:val="28"/>
          <w:lang w:eastAsia="lv-LV"/>
        </w:rPr>
        <w:t> </w:t>
      </w:r>
      <w:r w:rsidRPr="00697072">
        <w:rPr>
          <w:rFonts w:eastAsia="Times New Roman" w:cs="Times New Roman"/>
          <w:bCs/>
          <w:szCs w:val="28"/>
          <w:lang w:eastAsia="lv-LV"/>
        </w:rPr>
        <w:t>i</w:t>
      </w:r>
      <w:r w:rsidR="001A7006" w:rsidRPr="00697072">
        <w:rPr>
          <w:rFonts w:eastAsia="Times New Roman" w:cs="Times New Roman"/>
          <w:bCs/>
          <w:szCs w:val="28"/>
          <w:lang w:eastAsia="lv-LV"/>
        </w:rPr>
        <w:t xml:space="preserve">zteikt 14. </w:t>
      </w:r>
      <w:r w:rsidR="00F5498F" w:rsidRPr="00697072">
        <w:rPr>
          <w:rFonts w:eastAsia="Times New Roman" w:cs="Times New Roman"/>
          <w:bCs/>
          <w:szCs w:val="28"/>
          <w:lang w:eastAsia="lv-LV"/>
        </w:rPr>
        <w:t>un 15. </w:t>
      </w:r>
      <w:r w:rsidR="001A7006" w:rsidRPr="00697072">
        <w:rPr>
          <w:rFonts w:eastAsia="Times New Roman" w:cs="Times New Roman"/>
          <w:bCs/>
          <w:szCs w:val="28"/>
          <w:lang w:eastAsia="lv-LV"/>
        </w:rPr>
        <w:t>punktu šādā redakcijā:</w:t>
      </w:r>
    </w:p>
    <w:p w14:paraId="5D45FF86" w14:textId="77777777" w:rsidR="001A7006" w:rsidRPr="00815324" w:rsidRDefault="001A7006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032D924B" w14:textId="009E2DFD" w:rsidR="001A7006" w:rsidRPr="00815324" w:rsidRDefault="007D6091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i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"</w:t>
      </w:r>
      <w:r w:rsidR="00F5498F" w:rsidRPr="00697072">
        <w:rPr>
          <w:rFonts w:eastAsia="Times New Roman" w:cs="Times New Roman"/>
          <w:bCs/>
          <w:szCs w:val="28"/>
          <w:lang w:eastAsia="lv-LV"/>
        </w:rPr>
        <w:t>14. </w:t>
      </w:r>
      <w:r w:rsidR="00064A3F" w:rsidRPr="00697072">
        <w:rPr>
          <w:rFonts w:eastAsia="Times New Roman" w:cs="Times New Roman"/>
          <w:bCs/>
          <w:szCs w:val="28"/>
          <w:lang w:eastAsia="lv-LV"/>
        </w:rPr>
        <w:t>P</w:t>
      </w:r>
      <w:r w:rsidR="00827788" w:rsidRPr="00697072">
        <w:rPr>
          <w:rFonts w:eastAsia="Times New Roman" w:cs="Times New Roman"/>
          <w:bCs/>
          <w:szCs w:val="28"/>
          <w:lang w:eastAsia="lv-LV"/>
        </w:rPr>
        <w:t>ašvaldības,</w:t>
      </w:r>
      <w:r w:rsidR="001E1221" w:rsidRPr="00697072">
        <w:rPr>
          <w:rFonts w:eastAsia="Times New Roman" w:cs="Times New Roman"/>
          <w:bCs/>
          <w:szCs w:val="28"/>
          <w:lang w:eastAsia="lv-LV"/>
        </w:rPr>
        <w:t xml:space="preserve"> </w:t>
      </w:r>
      <w:r w:rsidR="00827788" w:rsidRPr="00697072">
        <w:rPr>
          <w:rFonts w:eastAsia="Times New Roman" w:cs="Times New Roman"/>
          <w:bCs/>
          <w:szCs w:val="28"/>
          <w:lang w:eastAsia="lv-LV"/>
        </w:rPr>
        <w:t xml:space="preserve">valsts dibinātās izglītības iestādes un </w:t>
      </w:r>
      <w:r w:rsidR="00827788" w:rsidRPr="00697072">
        <w:rPr>
          <w:rFonts w:eastAsia="Times New Roman" w:cs="Times New Roman"/>
          <w:bCs/>
          <w:iCs/>
          <w:szCs w:val="28"/>
          <w:lang w:eastAsia="lv-LV"/>
        </w:rPr>
        <w:t>privātās izglītības iestādes pārskatu aizpilda</w:t>
      </w:r>
      <w:r w:rsidR="00064A3F" w:rsidRPr="00697072">
        <w:rPr>
          <w:rFonts w:eastAsia="Times New Roman" w:cs="Times New Roman"/>
          <w:bCs/>
          <w:iCs/>
          <w:szCs w:val="28"/>
          <w:lang w:eastAsia="lv-LV"/>
        </w:rPr>
        <w:t>,</w:t>
      </w:r>
      <w:r w:rsidR="00827788" w:rsidRPr="00697072">
        <w:rPr>
          <w:rFonts w:eastAsia="Times New Roman" w:cs="Times New Roman"/>
          <w:bCs/>
          <w:iCs/>
          <w:szCs w:val="28"/>
          <w:lang w:eastAsia="lv-LV"/>
        </w:rPr>
        <w:t xml:space="preserve"> izmantojot </w:t>
      </w:r>
      <w:r w:rsidR="000B34B9" w:rsidRPr="00697072">
        <w:rPr>
          <w:szCs w:val="28"/>
        </w:rPr>
        <w:t xml:space="preserve">Valsts kases </w:t>
      </w:r>
      <w:r w:rsidR="00827788" w:rsidRPr="00697072">
        <w:rPr>
          <w:rFonts w:eastAsia="Times New Roman" w:cs="Times New Roman"/>
          <w:bCs/>
          <w:iCs/>
          <w:szCs w:val="28"/>
          <w:lang w:eastAsia="lv-LV"/>
        </w:rPr>
        <w:t xml:space="preserve">e-pakalpojumu </w:t>
      </w:r>
      <w:proofErr w:type="spellStart"/>
      <w:r w:rsidR="00827788" w:rsidRPr="00697072">
        <w:rPr>
          <w:rFonts w:eastAsia="Times New Roman" w:cs="Times New Roman"/>
          <w:bCs/>
          <w:iCs/>
          <w:szCs w:val="28"/>
          <w:lang w:eastAsia="lv-LV"/>
        </w:rPr>
        <w:t>ePārskati</w:t>
      </w:r>
      <w:proofErr w:type="spellEnd"/>
      <w:r w:rsidR="00827788" w:rsidRPr="00697072">
        <w:rPr>
          <w:rFonts w:eastAsia="Times New Roman" w:cs="Times New Roman"/>
          <w:bCs/>
          <w:iCs/>
          <w:szCs w:val="28"/>
          <w:lang w:eastAsia="lv-LV"/>
        </w:rPr>
        <w:t xml:space="preserve"> atbilstoši normatīvajiem aktiem par kārtību, kādā </w:t>
      </w:r>
      <w:r w:rsidR="000B34B9" w:rsidRPr="00815324">
        <w:rPr>
          <w:rFonts w:eastAsia="Times New Roman" w:cs="Times New Roman"/>
          <w:bCs/>
          <w:iCs/>
          <w:szCs w:val="28"/>
          <w:lang w:eastAsia="lv-LV"/>
        </w:rPr>
        <w:t xml:space="preserve">Valsts kase </w:t>
      </w:r>
      <w:r w:rsidR="00C70767" w:rsidRPr="00815324">
        <w:rPr>
          <w:rFonts w:eastAsia="Times New Roman" w:cs="Times New Roman"/>
          <w:bCs/>
          <w:iCs/>
          <w:szCs w:val="28"/>
          <w:lang w:eastAsia="lv-LV"/>
        </w:rPr>
        <w:t xml:space="preserve">nodrošina </w:t>
      </w:r>
      <w:r w:rsidR="000B34B9" w:rsidRPr="00815324">
        <w:rPr>
          <w:rFonts w:eastAsia="Times New Roman" w:cs="Times New Roman"/>
          <w:bCs/>
          <w:iCs/>
          <w:szCs w:val="28"/>
          <w:lang w:eastAsia="lv-LV"/>
        </w:rPr>
        <w:t xml:space="preserve">elektronisko </w:t>
      </w:r>
      <w:r w:rsidR="00C70767" w:rsidRPr="00815324">
        <w:rPr>
          <w:rFonts w:eastAsia="Times New Roman" w:cs="Times New Roman"/>
          <w:bCs/>
          <w:iCs/>
          <w:szCs w:val="28"/>
          <w:lang w:eastAsia="lv-LV"/>
        </w:rPr>
        <w:t xml:space="preserve">informācijas </w:t>
      </w:r>
      <w:r w:rsidR="000B34B9" w:rsidRPr="00815324">
        <w:rPr>
          <w:rFonts w:eastAsia="Times New Roman" w:cs="Times New Roman"/>
          <w:bCs/>
          <w:iCs/>
          <w:szCs w:val="28"/>
          <w:lang w:eastAsia="lv-LV"/>
        </w:rPr>
        <w:t>apmaiņu</w:t>
      </w:r>
      <w:r w:rsidR="00C70767" w:rsidRPr="00697072">
        <w:rPr>
          <w:rFonts w:eastAsia="Times New Roman" w:cs="Times New Roman"/>
          <w:bCs/>
          <w:iCs/>
          <w:szCs w:val="28"/>
          <w:lang w:eastAsia="lv-LV"/>
        </w:rPr>
        <w:t>.</w:t>
      </w:r>
    </w:p>
    <w:p w14:paraId="5F819C75" w14:textId="77777777" w:rsidR="000B34B9" w:rsidRPr="00815324" w:rsidRDefault="000B34B9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149D3826" w14:textId="3CFBF923" w:rsidR="00827788" w:rsidRPr="00697072" w:rsidRDefault="002F041C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15. </w:t>
      </w:r>
      <w:r w:rsidR="007C5249" w:rsidRPr="00697072">
        <w:rPr>
          <w:rFonts w:eastAsia="Times New Roman" w:cs="Times New Roman"/>
          <w:bCs/>
          <w:szCs w:val="28"/>
          <w:lang w:eastAsia="lv-LV"/>
        </w:rPr>
        <w:t xml:space="preserve">Ministrija pēc pārskata saņemšanas veic finansējuma 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 xml:space="preserve">pārrēķinu </w:t>
      </w:r>
      <w:r w:rsidR="007C5249" w:rsidRPr="00697072">
        <w:rPr>
          <w:rFonts w:eastAsia="Times New Roman" w:cs="Times New Roman"/>
          <w:bCs/>
          <w:szCs w:val="28"/>
          <w:lang w:eastAsia="lv-LV"/>
        </w:rPr>
        <w:t xml:space="preserve">saskaņā ar pārskatā norādīto faktisko finanšu līdzekļu izlietojumu. 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 xml:space="preserve">Ministrija ietur finansējuma atlikumu, ja izmaksātā avansa summa pārsniedz faktiski veiktos izdevumus asistenta pakalpojuma nodrošināšanai, vai izmaksā papildu finansējumu, </w:t>
      </w:r>
      <w:r w:rsidR="000B34B9" w:rsidRPr="00697072">
        <w:rPr>
          <w:rFonts w:eastAsia="Times New Roman" w:cs="Times New Roman"/>
          <w:bCs/>
          <w:szCs w:val="28"/>
          <w:lang w:eastAsia="lv-LV"/>
        </w:rPr>
        <w:t xml:space="preserve">ņemot vērā 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>šo noteikumu 10. punktā minēto aprēķinu, ja izmaksātā avansa summa ir mazāka nekā faktiski veiktie izdevum</w:t>
      </w:r>
      <w:r w:rsidR="00E23B9A" w:rsidRPr="00697072">
        <w:rPr>
          <w:rFonts w:eastAsia="Times New Roman" w:cs="Times New Roman"/>
          <w:bCs/>
          <w:szCs w:val="28"/>
          <w:lang w:eastAsia="lv-LV"/>
        </w:rPr>
        <w:t>i</w:t>
      </w:r>
      <w:r w:rsidR="00C10417" w:rsidRPr="00697072">
        <w:rPr>
          <w:rFonts w:eastAsia="Times New Roman" w:cs="Times New Roman"/>
          <w:bCs/>
          <w:szCs w:val="28"/>
          <w:lang w:eastAsia="lv-LV"/>
        </w:rPr>
        <w:t xml:space="preserve"> asistenta pakalpojuma nodrošināšanai. </w:t>
      </w:r>
      <w:r w:rsidR="006B0822" w:rsidRPr="00697072">
        <w:rPr>
          <w:rFonts w:eastAsia="Times New Roman" w:cs="Times New Roman"/>
          <w:bCs/>
          <w:szCs w:val="28"/>
          <w:lang w:eastAsia="lv-LV"/>
        </w:rPr>
        <w:t>Finansējuma</w:t>
      </w:r>
      <w:r w:rsidR="007C5249" w:rsidRPr="00697072">
        <w:rPr>
          <w:rFonts w:eastAsia="Times New Roman" w:cs="Times New Roman"/>
          <w:bCs/>
          <w:szCs w:val="28"/>
          <w:lang w:eastAsia="lv-LV"/>
        </w:rPr>
        <w:t xml:space="preserve"> atlikumu vai pārtēriņu</w:t>
      </w:r>
      <w:r w:rsidR="006B0822" w:rsidRPr="00697072">
        <w:rPr>
          <w:rFonts w:eastAsia="Times New Roman" w:cs="Times New Roman"/>
          <w:bCs/>
          <w:szCs w:val="28"/>
          <w:lang w:eastAsia="lv-LV"/>
        </w:rPr>
        <w:t xml:space="preserve"> uz pārskata perioda beigām</w:t>
      </w:r>
      <w:r w:rsidR="00701457" w:rsidRPr="00697072">
        <w:rPr>
          <w:rFonts w:eastAsia="Times New Roman" w:cs="Times New Roman"/>
          <w:bCs/>
          <w:szCs w:val="28"/>
          <w:lang w:eastAsia="lv-LV"/>
        </w:rPr>
        <w:t>, kas izveidojies</w:t>
      </w:r>
      <w:r w:rsidR="006B0822" w:rsidRPr="00697072">
        <w:rPr>
          <w:rFonts w:eastAsia="Times New Roman" w:cs="Times New Roman"/>
          <w:bCs/>
          <w:szCs w:val="28"/>
          <w:lang w:eastAsia="lv-LV"/>
        </w:rPr>
        <w:t xml:space="preserve"> pašvaldībām un privātajām izglītības iestādēm</w:t>
      </w:r>
      <w:r w:rsidRPr="00697072">
        <w:rPr>
          <w:rFonts w:eastAsia="Times New Roman" w:cs="Times New Roman"/>
          <w:bCs/>
          <w:szCs w:val="28"/>
          <w:lang w:eastAsia="lv-LV"/>
        </w:rPr>
        <w:t>,</w:t>
      </w:r>
      <w:r w:rsidR="00685E16" w:rsidRPr="00697072">
        <w:rPr>
          <w:rFonts w:eastAsia="Times New Roman" w:cs="Times New Roman"/>
          <w:bCs/>
          <w:szCs w:val="28"/>
          <w:lang w:eastAsia="lv-LV"/>
        </w:rPr>
        <w:t xml:space="preserve"> </w:t>
      </w:r>
      <w:r w:rsidR="00D46BC3" w:rsidRPr="00697072">
        <w:rPr>
          <w:rFonts w:eastAsia="Times New Roman" w:cs="Times New Roman"/>
          <w:bCs/>
          <w:szCs w:val="28"/>
          <w:lang w:eastAsia="lv-LV"/>
        </w:rPr>
        <w:t xml:space="preserve">ministrija </w:t>
      </w:r>
      <w:r w:rsidR="007C5249" w:rsidRPr="00697072">
        <w:rPr>
          <w:rFonts w:eastAsia="Times New Roman" w:cs="Times New Roman"/>
          <w:bCs/>
          <w:szCs w:val="28"/>
          <w:lang w:eastAsia="lv-LV"/>
        </w:rPr>
        <w:t xml:space="preserve">ņem vērā, veicot nākamā </w:t>
      </w:r>
      <w:r w:rsidR="003D73D9" w:rsidRPr="00697072">
        <w:rPr>
          <w:rFonts w:eastAsia="Times New Roman" w:cs="Times New Roman"/>
          <w:bCs/>
          <w:szCs w:val="28"/>
          <w:lang w:eastAsia="lv-LV"/>
        </w:rPr>
        <w:t xml:space="preserve">perioda maksājumu saskaņā ar šo </w:t>
      </w:r>
      <w:r w:rsidR="007C5249" w:rsidRPr="00697072">
        <w:rPr>
          <w:rFonts w:eastAsia="Times New Roman" w:cs="Times New Roman"/>
          <w:bCs/>
          <w:szCs w:val="28"/>
          <w:lang w:eastAsia="lv-LV"/>
        </w:rPr>
        <w:t>noteikumu</w:t>
      </w:r>
      <w:r w:rsidRPr="00697072">
        <w:rPr>
          <w:rFonts w:eastAsia="Times New Roman" w:cs="Times New Roman"/>
          <w:bCs/>
          <w:szCs w:val="28"/>
          <w:lang w:eastAsia="lv-LV"/>
        </w:rPr>
        <w:t xml:space="preserve"> </w:t>
      </w:r>
      <w:hyperlink r:id="rId9" w:anchor="p12" w:history="1">
        <w:r w:rsidR="007C5249" w:rsidRPr="00697072">
          <w:rPr>
            <w:rFonts w:eastAsia="Times New Roman" w:cs="Times New Roman"/>
            <w:bCs/>
            <w:szCs w:val="28"/>
            <w:lang w:eastAsia="lv-LV"/>
          </w:rPr>
          <w:t>12.</w:t>
        </w:r>
        <w:r w:rsidRPr="00697072">
          <w:rPr>
            <w:rFonts w:eastAsia="Times New Roman" w:cs="Times New Roman"/>
            <w:bCs/>
            <w:szCs w:val="28"/>
            <w:lang w:eastAsia="lv-LV"/>
          </w:rPr>
          <w:t> </w:t>
        </w:r>
        <w:r w:rsidR="007C5249" w:rsidRPr="00697072">
          <w:rPr>
            <w:rFonts w:eastAsia="Times New Roman" w:cs="Times New Roman"/>
            <w:bCs/>
            <w:szCs w:val="28"/>
            <w:lang w:eastAsia="lv-LV"/>
          </w:rPr>
          <w:t>punktā</w:t>
        </w:r>
      </w:hyperlink>
      <w:r w:rsidRPr="00697072">
        <w:rPr>
          <w:rFonts w:eastAsia="Times New Roman" w:cs="Times New Roman"/>
          <w:bCs/>
          <w:szCs w:val="28"/>
          <w:lang w:eastAsia="lv-LV"/>
        </w:rPr>
        <w:t xml:space="preserve"> </w:t>
      </w:r>
      <w:r w:rsidR="003D73D9" w:rsidRPr="00697072">
        <w:rPr>
          <w:rFonts w:eastAsia="Times New Roman" w:cs="Times New Roman"/>
          <w:bCs/>
          <w:szCs w:val="28"/>
          <w:lang w:eastAsia="lv-LV"/>
        </w:rPr>
        <w:t xml:space="preserve">minētajiem </w:t>
      </w:r>
      <w:r w:rsidR="007C5249" w:rsidRPr="00697072">
        <w:rPr>
          <w:rFonts w:eastAsia="Times New Roman" w:cs="Times New Roman"/>
          <w:bCs/>
          <w:szCs w:val="28"/>
          <w:lang w:eastAsia="lv-LV"/>
        </w:rPr>
        <w:t>finansējuma pārskaitījuma termiņiem.</w:t>
      </w:r>
      <w:r w:rsidRPr="00697072">
        <w:rPr>
          <w:rFonts w:eastAsia="Times New Roman" w:cs="Times New Roman"/>
          <w:bCs/>
          <w:szCs w:val="28"/>
          <w:lang w:eastAsia="lv-LV"/>
        </w:rPr>
        <w:t xml:space="preserve"> Finansējuma atlikumu vai pārtēriņu uz pārskata perioda beigām, kas izveidojies valsts dibinātajām izglītības iestādēm, </w:t>
      </w:r>
      <w:r w:rsidR="00D46BC3" w:rsidRPr="00697072">
        <w:rPr>
          <w:rFonts w:eastAsia="Times New Roman" w:cs="Times New Roman"/>
          <w:bCs/>
          <w:szCs w:val="28"/>
          <w:lang w:eastAsia="lv-LV"/>
        </w:rPr>
        <w:t xml:space="preserve">ministrija </w:t>
      </w:r>
      <w:r w:rsidRPr="00697072">
        <w:rPr>
          <w:rFonts w:eastAsia="Times New Roman" w:cs="Times New Roman"/>
          <w:bCs/>
          <w:szCs w:val="28"/>
          <w:lang w:eastAsia="lv-LV"/>
        </w:rPr>
        <w:t xml:space="preserve">ņem vērā, veicot nākamā perioda maksājumu saskaņā ar šo </w:t>
      </w:r>
      <w:r w:rsidR="00A51C81" w:rsidRPr="00815324">
        <w:rPr>
          <w:rFonts w:eastAsia="Times New Roman" w:cs="Times New Roman"/>
          <w:bCs/>
          <w:spacing w:val="-2"/>
          <w:szCs w:val="28"/>
          <w:lang w:eastAsia="lv-LV"/>
        </w:rPr>
        <w:t xml:space="preserve">noteikumu </w:t>
      </w:r>
      <w:hyperlink r:id="rId10" w:anchor="p12" w:history="1">
        <w:r w:rsidRPr="00815324">
          <w:rPr>
            <w:rFonts w:eastAsia="Times New Roman" w:cs="Times New Roman"/>
            <w:bCs/>
            <w:spacing w:val="-2"/>
            <w:szCs w:val="28"/>
            <w:lang w:eastAsia="lv-LV"/>
          </w:rPr>
          <w:t xml:space="preserve">12.1., </w:t>
        </w:r>
      </w:hyperlink>
      <w:r w:rsidRPr="00815324">
        <w:rPr>
          <w:rFonts w:eastAsia="Times New Roman" w:cs="Times New Roman"/>
          <w:bCs/>
          <w:spacing w:val="-2"/>
          <w:szCs w:val="28"/>
          <w:lang w:eastAsia="lv-LV"/>
        </w:rPr>
        <w:t>12.3. un 12.4. </w:t>
      </w:r>
      <w:r w:rsidR="00A51C81" w:rsidRPr="00815324">
        <w:rPr>
          <w:rFonts w:eastAsia="Times New Roman" w:cs="Times New Roman"/>
          <w:bCs/>
          <w:spacing w:val="-2"/>
          <w:szCs w:val="28"/>
          <w:lang w:eastAsia="lv-LV"/>
        </w:rPr>
        <w:t xml:space="preserve">apakšpunktā </w:t>
      </w:r>
      <w:r w:rsidRPr="00815324">
        <w:rPr>
          <w:rFonts w:eastAsia="Times New Roman" w:cs="Times New Roman"/>
          <w:bCs/>
          <w:spacing w:val="-2"/>
          <w:szCs w:val="28"/>
          <w:lang w:eastAsia="lv-LV"/>
        </w:rPr>
        <w:t>minētajiem finansējuma pārskaitījuma</w:t>
      </w:r>
      <w:r w:rsidRPr="00697072">
        <w:rPr>
          <w:rFonts w:eastAsia="Times New Roman" w:cs="Times New Roman"/>
          <w:bCs/>
          <w:szCs w:val="28"/>
          <w:lang w:eastAsia="lv-LV"/>
        </w:rPr>
        <w:t xml:space="preserve"> termiņiem.</w:t>
      </w:r>
      <w:r w:rsidR="007D6091" w:rsidRPr="00697072">
        <w:rPr>
          <w:rFonts w:eastAsia="Times New Roman" w:cs="Times New Roman"/>
          <w:bCs/>
          <w:szCs w:val="28"/>
          <w:lang w:eastAsia="lv-LV"/>
        </w:rPr>
        <w:t>"</w:t>
      </w:r>
      <w:r w:rsidR="00446A5C" w:rsidRPr="00697072">
        <w:rPr>
          <w:rFonts w:eastAsia="Times New Roman" w:cs="Times New Roman"/>
          <w:bCs/>
          <w:szCs w:val="28"/>
          <w:lang w:eastAsia="lv-LV"/>
        </w:rPr>
        <w:t>;</w:t>
      </w:r>
    </w:p>
    <w:p w14:paraId="38CAB0E1" w14:textId="77777777" w:rsidR="00701457" w:rsidRPr="00815324" w:rsidRDefault="00701457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2DAA9BF0" w14:textId="51EA99EE" w:rsidR="00550264" w:rsidRPr="00697072" w:rsidRDefault="00446A5C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t>1.</w:t>
      </w:r>
      <w:r w:rsidR="00662DE2" w:rsidRPr="00697072">
        <w:rPr>
          <w:rFonts w:eastAsia="Times New Roman" w:cs="Times New Roman"/>
          <w:bCs/>
          <w:szCs w:val="28"/>
          <w:lang w:eastAsia="lv-LV"/>
        </w:rPr>
        <w:t>7</w:t>
      </w:r>
      <w:r w:rsidR="0011724D" w:rsidRPr="00697072">
        <w:rPr>
          <w:rFonts w:eastAsia="Times New Roman" w:cs="Times New Roman"/>
          <w:bCs/>
          <w:szCs w:val="28"/>
          <w:lang w:eastAsia="lv-LV"/>
        </w:rPr>
        <w:t>.</w:t>
      </w:r>
      <w:r w:rsidR="00B94809" w:rsidRPr="00697072">
        <w:rPr>
          <w:rFonts w:eastAsia="Times New Roman" w:cs="Times New Roman"/>
          <w:bCs/>
          <w:szCs w:val="28"/>
          <w:lang w:eastAsia="lv-LV"/>
        </w:rPr>
        <w:t> </w:t>
      </w:r>
      <w:r w:rsidRPr="00697072">
        <w:rPr>
          <w:rFonts w:eastAsia="Times New Roman" w:cs="Times New Roman"/>
          <w:bCs/>
          <w:szCs w:val="28"/>
          <w:lang w:eastAsia="lv-LV"/>
        </w:rPr>
        <w:t>p</w:t>
      </w:r>
      <w:r w:rsidR="007C264B" w:rsidRPr="00697072">
        <w:rPr>
          <w:szCs w:val="28"/>
        </w:rPr>
        <w:t>apildināt noteikumus ar 1. pielikumu šādā redakcijā</w:t>
      </w:r>
      <w:r w:rsidR="0011724D" w:rsidRPr="00697072">
        <w:rPr>
          <w:rFonts w:eastAsia="Times New Roman" w:cs="Times New Roman"/>
          <w:bCs/>
          <w:szCs w:val="28"/>
          <w:lang w:eastAsia="lv-LV"/>
        </w:rPr>
        <w:t>:</w:t>
      </w:r>
    </w:p>
    <w:p w14:paraId="57E82C0D" w14:textId="77777777" w:rsidR="00B700D9" w:rsidRPr="00815324" w:rsidRDefault="00B700D9" w:rsidP="00972AF2">
      <w:pPr>
        <w:spacing w:after="0" w:line="240" w:lineRule="auto"/>
        <w:contextualSpacing/>
        <w:jc w:val="both"/>
        <w:rPr>
          <w:rFonts w:eastAsia="Times New Roman" w:cs="Times New Roman"/>
          <w:bCs/>
          <w:sz w:val="18"/>
          <w:szCs w:val="18"/>
          <w:lang w:eastAsia="lv-LV"/>
        </w:rPr>
      </w:pPr>
    </w:p>
    <w:p w14:paraId="225F9C30" w14:textId="45811A63" w:rsidR="00FB7059" w:rsidRPr="00697072" w:rsidRDefault="00F938A9" w:rsidP="00B700D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ab/>
      </w:r>
      <w:r w:rsidR="007D6091" w:rsidRPr="00697072">
        <w:rPr>
          <w:rFonts w:eastAsia="Times New Roman" w:cs="Times New Roman"/>
          <w:szCs w:val="28"/>
          <w:lang w:eastAsia="lv-LV"/>
        </w:rPr>
        <w:t>"</w:t>
      </w:r>
      <w:r w:rsidR="00FB7059" w:rsidRPr="00697072">
        <w:rPr>
          <w:rFonts w:eastAsia="Times New Roman" w:cs="Times New Roman"/>
          <w:szCs w:val="28"/>
          <w:lang w:eastAsia="lv-LV"/>
        </w:rPr>
        <w:t>1.</w:t>
      </w:r>
      <w:r w:rsidR="00D934BC">
        <w:rPr>
          <w:rFonts w:eastAsia="Times New Roman" w:cs="Times New Roman"/>
          <w:szCs w:val="28"/>
          <w:lang w:eastAsia="lv-LV"/>
        </w:rPr>
        <w:t> </w:t>
      </w:r>
      <w:r w:rsidR="00FB7059" w:rsidRPr="00697072">
        <w:rPr>
          <w:rFonts w:eastAsia="Times New Roman" w:cs="Times New Roman"/>
          <w:szCs w:val="28"/>
          <w:lang w:eastAsia="lv-LV"/>
        </w:rPr>
        <w:t>pielikums</w:t>
      </w:r>
    </w:p>
    <w:p w14:paraId="48F7A272" w14:textId="77777777" w:rsidR="00FB7059" w:rsidRPr="00697072" w:rsidRDefault="00FB705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Ministru kabineta</w:t>
      </w:r>
    </w:p>
    <w:p w14:paraId="5F1FD46A" w14:textId="77777777" w:rsidR="00FB7059" w:rsidRPr="00697072" w:rsidRDefault="00FB705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2012. gada 9. oktobra</w:t>
      </w:r>
    </w:p>
    <w:p w14:paraId="6324E104" w14:textId="38048091" w:rsidR="00FB7059" w:rsidRPr="00697072" w:rsidRDefault="00FB705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noteikumiem Nr. 695</w:t>
      </w:r>
    </w:p>
    <w:p w14:paraId="1835D9A0" w14:textId="77777777" w:rsidR="00972AF2" w:rsidRPr="00815324" w:rsidRDefault="00972AF2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8B5EDC3" w14:textId="19C3B49B" w:rsidR="00F91199" w:rsidRPr="00697072" w:rsidRDefault="00BF01E4" w:rsidP="00C10417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b/>
          <w:bCs/>
          <w:szCs w:val="28"/>
          <w:lang w:eastAsia="lv-LV"/>
        </w:rPr>
        <w:t xml:space="preserve">Asistenta pakalpojuma </w:t>
      </w:r>
      <w:r w:rsidR="00F57C36" w:rsidRPr="00697072">
        <w:rPr>
          <w:rFonts w:eastAsia="Times New Roman" w:cs="Times New Roman"/>
          <w:b/>
          <w:bCs/>
          <w:szCs w:val="28"/>
          <w:lang w:eastAsia="lv-LV"/>
        </w:rPr>
        <w:t xml:space="preserve">izcenojums </w:t>
      </w:r>
      <w:r w:rsidRPr="00697072">
        <w:rPr>
          <w:rFonts w:eastAsia="Times New Roman" w:cs="Times New Roman"/>
          <w:b/>
          <w:bCs/>
          <w:szCs w:val="28"/>
          <w:lang w:eastAsia="lv-LV"/>
        </w:rPr>
        <w:t>v</w:t>
      </w:r>
      <w:r w:rsidR="00F91199" w:rsidRPr="00697072">
        <w:rPr>
          <w:rFonts w:eastAsia="Times New Roman" w:cs="Times New Roman"/>
          <w:b/>
          <w:bCs/>
          <w:szCs w:val="28"/>
          <w:lang w:eastAsia="lv-LV"/>
        </w:rPr>
        <w:t>iena</w:t>
      </w:r>
      <w:r w:rsidR="00F57C36" w:rsidRPr="00697072">
        <w:rPr>
          <w:rFonts w:eastAsia="Times New Roman" w:cs="Times New Roman"/>
          <w:b/>
          <w:bCs/>
          <w:szCs w:val="28"/>
          <w:lang w:eastAsia="lv-LV"/>
        </w:rPr>
        <w:t>i</w:t>
      </w:r>
      <w:r w:rsidR="00F91199" w:rsidRPr="0069707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F57C36" w:rsidRPr="00697072">
        <w:rPr>
          <w:rFonts w:eastAsia="Times New Roman" w:cs="Times New Roman"/>
          <w:b/>
          <w:bCs/>
          <w:szCs w:val="28"/>
          <w:lang w:eastAsia="lv-LV"/>
        </w:rPr>
        <w:t xml:space="preserve">stundai </w:t>
      </w:r>
      <w:r w:rsidR="00187BA1" w:rsidRPr="00697072">
        <w:rPr>
          <w:rFonts w:eastAsia="Times New Roman" w:cs="Times New Roman"/>
          <w:b/>
          <w:bCs/>
          <w:szCs w:val="28"/>
          <w:lang w:eastAsia="lv-LV"/>
        </w:rPr>
        <w:t>2021.</w:t>
      </w:r>
      <w:r w:rsidR="00F57C36" w:rsidRPr="00697072">
        <w:rPr>
          <w:rFonts w:eastAsia="Times New Roman" w:cs="Times New Roman"/>
          <w:b/>
          <w:bCs/>
          <w:szCs w:val="28"/>
          <w:lang w:eastAsia="lv-LV"/>
        </w:rPr>
        <w:t> </w:t>
      </w:r>
      <w:r w:rsidR="00187BA1" w:rsidRPr="00697072">
        <w:rPr>
          <w:rFonts w:eastAsia="Times New Roman" w:cs="Times New Roman"/>
          <w:b/>
          <w:bCs/>
          <w:szCs w:val="28"/>
          <w:lang w:eastAsia="lv-LV"/>
        </w:rPr>
        <w:t>gadā</w:t>
      </w:r>
    </w:p>
    <w:p w14:paraId="301B3A39" w14:textId="77777777" w:rsidR="00F91199" w:rsidRPr="00815324" w:rsidRDefault="00F91199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7058" w:type="dxa"/>
        <w:jc w:val="center"/>
        <w:tblLook w:val="04A0" w:firstRow="1" w:lastRow="0" w:firstColumn="1" w:lastColumn="0" w:noHBand="0" w:noVBand="1"/>
      </w:tblPr>
      <w:tblGrid>
        <w:gridCol w:w="3373"/>
        <w:gridCol w:w="3685"/>
      </w:tblGrid>
      <w:tr w:rsidR="00697072" w:rsidRPr="00697072" w14:paraId="63B49DFD" w14:textId="3BDAD784" w:rsidTr="00C72DD6">
        <w:trPr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24EF" w14:textId="5ABF47C9" w:rsidR="006D687F" w:rsidRPr="00815324" w:rsidRDefault="006D687F" w:rsidP="00C1041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24D" w14:textId="2F60AE85" w:rsidR="006D687F" w:rsidRPr="00815324" w:rsidRDefault="00F57C36" w:rsidP="006D687F">
            <w:pPr>
              <w:spacing w:after="0" w:line="240" w:lineRule="auto"/>
              <w:ind w:firstLine="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15324">
              <w:rPr>
                <w:b/>
                <w:bCs/>
                <w:iCs/>
                <w:sz w:val="24"/>
                <w:szCs w:val="24"/>
              </w:rPr>
              <w:t xml:space="preserve">Izcenojums vienai stundai </w:t>
            </w:r>
            <w:r w:rsidR="00C72DD6" w:rsidRPr="00697072">
              <w:rPr>
                <w:b/>
                <w:bCs/>
                <w:iCs/>
                <w:sz w:val="24"/>
                <w:szCs w:val="24"/>
              </w:rPr>
              <w:br/>
            </w:r>
            <w:r w:rsidR="006D687F" w:rsidRPr="00815324">
              <w:rPr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="006D687F" w:rsidRPr="00815324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6D687F" w:rsidRPr="00815324"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697072" w:rsidRPr="00697072" w14:paraId="262826D3" w14:textId="461AADB0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33B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CA0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3,1250</w:t>
            </w:r>
          </w:p>
        </w:tc>
      </w:tr>
      <w:tr w:rsidR="00697072" w:rsidRPr="00697072" w14:paraId="04A5EAC4" w14:textId="17DC2CE0" w:rsidTr="00C72DD6">
        <w:trPr>
          <w:trHeight w:val="30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82D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A27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3,1250</w:t>
            </w:r>
          </w:p>
        </w:tc>
      </w:tr>
      <w:tr w:rsidR="00697072" w:rsidRPr="00697072" w14:paraId="277424CD" w14:textId="793D3106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533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7FA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2,7174</w:t>
            </w:r>
          </w:p>
        </w:tc>
      </w:tr>
      <w:tr w:rsidR="00697072" w:rsidRPr="00697072" w14:paraId="09FD7088" w14:textId="6A11E48A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45D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01A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3,1646</w:t>
            </w:r>
          </w:p>
        </w:tc>
      </w:tr>
      <w:tr w:rsidR="00697072" w:rsidRPr="00697072" w14:paraId="57B9E180" w14:textId="0D2B6A35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5E4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66A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3,1447</w:t>
            </w:r>
          </w:p>
        </w:tc>
      </w:tr>
      <w:tr w:rsidR="00697072" w:rsidRPr="00697072" w14:paraId="215B85FF" w14:textId="7A5BDC7E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20C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1F8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3,1447</w:t>
            </w:r>
          </w:p>
        </w:tc>
      </w:tr>
      <w:tr w:rsidR="00697072" w:rsidRPr="00697072" w14:paraId="4DA90AAA" w14:textId="38BBA15D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561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77E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2,8409</w:t>
            </w:r>
          </w:p>
        </w:tc>
      </w:tr>
      <w:tr w:rsidR="00697072" w:rsidRPr="00697072" w14:paraId="61DBC908" w14:textId="1D34E1B0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6F2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DED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2,8409</w:t>
            </w:r>
          </w:p>
        </w:tc>
      </w:tr>
      <w:tr w:rsidR="00697072" w:rsidRPr="00697072" w14:paraId="070C63F8" w14:textId="1FDE805C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33D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441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2,8409</w:t>
            </w:r>
          </w:p>
        </w:tc>
      </w:tr>
      <w:tr w:rsidR="00697072" w:rsidRPr="00697072" w14:paraId="5CE17A02" w14:textId="2DBEE5D7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6F9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292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2,9762</w:t>
            </w:r>
          </w:p>
        </w:tc>
      </w:tr>
      <w:tr w:rsidR="00697072" w:rsidRPr="00697072" w14:paraId="5589723A" w14:textId="5B772438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48E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FA8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2,9940</w:t>
            </w:r>
          </w:p>
        </w:tc>
      </w:tr>
      <w:tr w:rsidR="00697072" w:rsidRPr="00697072" w14:paraId="7F77E045" w14:textId="3F3217CD" w:rsidTr="00C72DD6">
        <w:trPr>
          <w:trHeight w:val="300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EE1" w14:textId="77777777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F1D" w14:textId="1D86A3DA" w:rsidR="006D687F" w:rsidRPr="00815324" w:rsidRDefault="006D687F" w:rsidP="00F90C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3,0120</w:t>
            </w:r>
            <w:r w:rsidR="00D934BC" w:rsidRPr="00815324">
              <w:rPr>
                <w:rFonts w:eastAsia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5DC5935F" w14:textId="77777777" w:rsidR="007C264B" w:rsidRPr="00815324" w:rsidRDefault="007C264B" w:rsidP="00972AF2">
      <w:pPr>
        <w:tabs>
          <w:tab w:val="left" w:pos="2610"/>
        </w:tabs>
        <w:spacing w:after="0" w:line="240" w:lineRule="auto"/>
        <w:ind w:firstLine="0"/>
        <w:rPr>
          <w:rFonts w:eastAsia="Times New Roman" w:cs="Times New Roman"/>
          <w:sz w:val="24"/>
          <w:szCs w:val="24"/>
          <w:lang w:eastAsia="lv-LV"/>
        </w:rPr>
      </w:pPr>
    </w:p>
    <w:p w14:paraId="453274FD" w14:textId="77777777" w:rsidR="00972AF2" w:rsidRPr="00815324" w:rsidRDefault="00972AF2" w:rsidP="00972AF2">
      <w:pPr>
        <w:tabs>
          <w:tab w:val="left" w:pos="2610"/>
        </w:tabs>
        <w:spacing w:after="0" w:line="240" w:lineRule="auto"/>
        <w:ind w:firstLine="0"/>
        <w:rPr>
          <w:rFonts w:eastAsia="Times New Roman" w:cs="Times New Roman"/>
          <w:sz w:val="6"/>
          <w:szCs w:val="6"/>
          <w:lang w:eastAsia="lv-LV"/>
        </w:rPr>
      </w:pPr>
    </w:p>
    <w:p w14:paraId="3D9471A3" w14:textId="2857A3C5" w:rsidR="00972AF2" w:rsidRPr="00815324" w:rsidRDefault="00972AF2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 w:val="6"/>
          <w:szCs w:val="6"/>
          <w:lang w:eastAsia="lv-LV"/>
        </w:rPr>
        <w:sectPr w:rsidR="00972AF2" w:rsidRPr="00815324" w:rsidSect="007D609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701" w:header="709" w:footer="709" w:gutter="0"/>
          <w:pgNumType w:start="1"/>
          <w:cols w:space="708"/>
          <w:titlePg/>
          <w:docGrid w:linePitch="381"/>
        </w:sectPr>
      </w:pPr>
    </w:p>
    <w:p w14:paraId="53172394" w14:textId="4081FB1C" w:rsidR="007C264B" w:rsidRPr="00697072" w:rsidRDefault="00446A5C" w:rsidP="00972AF2">
      <w:pPr>
        <w:spacing w:after="0" w:line="240" w:lineRule="auto"/>
        <w:rPr>
          <w:rFonts w:eastAsia="Times New Roman" w:cs="Times New Roman"/>
          <w:bCs/>
          <w:szCs w:val="28"/>
          <w:lang w:eastAsia="lv-LV"/>
        </w:rPr>
      </w:pPr>
      <w:r w:rsidRPr="00697072">
        <w:rPr>
          <w:rFonts w:eastAsia="Times New Roman" w:cs="Times New Roman"/>
          <w:bCs/>
          <w:szCs w:val="28"/>
          <w:lang w:eastAsia="lv-LV"/>
        </w:rPr>
        <w:lastRenderedPageBreak/>
        <w:t>1.</w:t>
      </w:r>
      <w:r w:rsidR="00662DE2" w:rsidRPr="00697072">
        <w:rPr>
          <w:rFonts w:eastAsia="Times New Roman" w:cs="Times New Roman"/>
          <w:bCs/>
          <w:szCs w:val="28"/>
          <w:lang w:eastAsia="lv-LV"/>
        </w:rPr>
        <w:t>8</w:t>
      </w:r>
      <w:r w:rsidR="00F91199" w:rsidRPr="00697072">
        <w:rPr>
          <w:rFonts w:eastAsia="Times New Roman" w:cs="Times New Roman"/>
          <w:bCs/>
          <w:szCs w:val="28"/>
          <w:lang w:eastAsia="lv-LV"/>
        </w:rPr>
        <w:t>. </w:t>
      </w:r>
      <w:r w:rsidRPr="00697072">
        <w:rPr>
          <w:rFonts w:eastAsia="Times New Roman" w:cs="Times New Roman"/>
          <w:bCs/>
          <w:szCs w:val="28"/>
          <w:lang w:eastAsia="lv-LV"/>
        </w:rPr>
        <w:t>i</w:t>
      </w:r>
      <w:r w:rsidR="007C264B" w:rsidRPr="00697072">
        <w:rPr>
          <w:rFonts w:eastAsia="Times New Roman" w:cs="Times New Roman"/>
          <w:bCs/>
          <w:szCs w:val="28"/>
          <w:lang w:eastAsia="lv-LV"/>
        </w:rPr>
        <w:t>zteikt pielikumu šādā redakcijā:</w:t>
      </w:r>
    </w:p>
    <w:p w14:paraId="558B2548" w14:textId="77777777" w:rsidR="00B43E5B" w:rsidRPr="00697072" w:rsidRDefault="00B43E5B" w:rsidP="00972AF2">
      <w:pPr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17E5AE9A" w14:textId="28F3E456" w:rsidR="00F938A9" w:rsidRPr="00697072" w:rsidRDefault="007D6091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"</w:t>
      </w:r>
      <w:r w:rsidR="007C264B" w:rsidRPr="00697072">
        <w:rPr>
          <w:rFonts w:eastAsia="Times New Roman" w:cs="Times New Roman"/>
          <w:szCs w:val="28"/>
          <w:lang w:eastAsia="lv-LV"/>
        </w:rPr>
        <w:t>2.</w:t>
      </w:r>
      <w:r w:rsidR="00F91199" w:rsidRPr="00697072">
        <w:rPr>
          <w:rFonts w:eastAsia="Times New Roman" w:cs="Times New Roman"/>
          <w:szCs w:val="28"/>
          <w:lang w:eastAsia="lv-LV"/>
        </w:rPr>
        <w:t> </w:t>
      </w:r>
      <w:r w:rsidR="007C264B" w:rsidRPr="00697072">
        <w:rPr>
          <w:rFonts w:eastAsia="Times New Roman" w:cs="Times New Roman"/>
          <w:szCs w:val="28"/>
          <w:lang w:eastAsia="lv-LV"/>
        </w:rPr>
        <w:t>p</w:t>
      </w:r>
      <w:r w:rsidR="00F938A9" w:rsidRPr="00697072">
        <w:rPr>
          <w:rFonts w:eastAsia="Times New Roman" w:cs="Times New Roman"/>
          <w:szCs w:val="28"/>
          <w:lang w:eastAsia="lv-LV"/>
        </w:rPr>
        <w:t>ielikums</w:t>
      </w:r>
    </w:p>
    <w:p w14:paraId="6167FE65" w14:textId="77777777" w:rsidR="00F938A9" w:rsidRPr="00697072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Ministru kabineta</w:t>
      </w:r>
    </w:p>
    <w:p w14:paraId="6D974839" w14:textId="77777777" w:rsidR="00F938A9" w:rsidRPr="00697072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2012. gada 9. oktobra</w:t>
      </w:r>
    </w:p>
    <w:p w14:paraId="5FBAA33F" w14:textId="77777777" w:rsidR="00F938A9" w:rsidRPr="00697072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697072">
        <w:rPr>
          <w:rFonts w:eastAsia="Times New Roman" w:cs="Times New Roman"/>
          <w:szCs w:val="28"/>
          <w:lang w:eastAsia="lv-LV"/>
        </w:rPr>
        <w:t>noteikumiem Nr. 695</w:t>
      </w:r>
    </w:p>
    <w:p w14:paraId="33B06483" w14:textId="51ADE98D" w:rsidR="002A685C" w:rsidRPr="00697072" w:rsidRDefault="002A685C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110CB3C9" w14:textId="398A6A24" w:rsidR="002A685C" w:rsidRPr="00697072" w:rsidRDefault="002A685C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697072">
        <w:rPr>
          <w:rFonts w:eastAsia="Times New Roman" w:cs="Times New Roman"/>
          <w:b/>
          <w:szCs w:val="28"/>
          <w:lang w:eastAsia="lv-LV"/>
        </w:rPr>
        <w:t xml:space="preserve">Pārskats par </w:t>
      </w:r>
      <w:r w:rsidR="00F938A9" w:rsidRPr="00697072">
        <w:rPr>
          <w:rFonts w:eastAsia="Times New Roman" w:cs="Times New Roman"/>
          <w:b/>
          <w:szCs w:val="28"/>
          <w:lang w:eastAsia="lv-LV"/>
        </w:rPr>
        <w:t>valsts budžeta līdzekļu izlietojumu asistenta pakalpojuma nodrošināšanai</w:t>
      </w:r>
      <w:r w:rsidRPr="00697072">
        <w:rPr>
          <w:rFonts w:eastAsia="Times New Roman" w:cs="Times New Roman"/>
          <w:b/>
          <w:szCs w:val="28"/>
          <w:lang w:eastAsia="lv-LV"/>
        </w:rPr>
        <w:t xml:space="preserve"> </w:t>
      </w:r>
    </w:p>
    <w:p w14:paraId="0E16C5B7" w14:textId="77777777" w:rsidR="00972AF2" w:rsidRPr="00697072" w:rsidRDefault="00972AF2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tbl>
      <w:tblPr>
        <w:tblStyle w:val="TableGrid"/>
        <w:tblW w:w="14743" w:type="dxa"/>
        <w:tblInd w:w="-142" w:type="dxa"/>
        <w:tblLook w:val="04A0" w:firstRow="1" w:lastRow="0" w:firstColumn="1" w:lastColumn="0" w:noHBand="0" w:noVBand="1"/>
      </w:tblPr>
      <w:tblGrid>
        <w:gridCol w:w="10490"/>
        <w:gridCol w:w="4253"/>
      </w:tblGrid>
      <w:tr w:rsidR="00697072" w:rsidRPr="00697072" w14:paraId="0C259DEE" w14:textId="77777777" w:rsidTr="00F84E28">
        <w:tc>
          <w:tcPr>
            <w:tcW w:w="10490" w:type="dxa"/>
            <w:tcBorders>
              <w:top w:val="nil"/>
              <w:left w:val="nil"/>
            </w:tcBorders>
          </w:tcPr>
          <w:p w14:paraId="2F59D05B" w14:textId="77777777" w:rsidR="002A685C" w:rsidRPr="00815324" w:rsidRDefault="002A685C" w:rsidP="00550E21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9AFE97" w14:textId="77777777" w:rsidR="002A685C" w:rsidRPr="00815324" w:rsidRDefault="002A685C" w:rsidP="00550E21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815324">
              <w:rPr>
                <w:rFonts w:cs="Times New Roman"/>
                <w:sz w:val="24"/>
                <w:szCs w:val="24"/>
              </w:rPr>
              <w:t>KODS</w:t>
            </w:r>
          </w:p>
        </w:tc>
      </w:tr>
      <w:tr w:rsidR="00697072" w:rsidRPr="00697072" w14:paraId="41D9B0FE" w14:textId="77777777" w:rsidTr="00F84E28">
        <w:tc>
          <w:tcPr>
            <w:tcW w:w="10490" w:type="dxa"/>
          </w:tcPr>
          <w:p w14:paraId="1A287A59" w14:textId="77777777" w:rsidR="002A685C" w:rsidRPr="00815324" w:rsidRDefault="002A685C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15324">
              <w:rPr>
                <w:rFonts w:cs="Times New Roman"/>
                <w:sz w:val="24"/>
                <w:szCs w:val="24"/>
              </w:rPr>
              <w:t>Pašvaldības nosaukums</w:t>
            </w:r>
          </w:p>
        </w:tc>
        <w:tc>
          <w:tcPr>
            <w:tcW w:w="4253" w:type="dxa"/>
          </w:tcPr>
          <w:p w14:paraId="1DEA555E" w14:textId="77777777" w:rsidR="002A685C" w:rsidRPr="00815324" w:rsidRDefault="002A685C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97072" w:rsidRPr="00697072" w14:paraId="66F131F5" w14:textId="77777777" w:rsidTr="00F84E28">
        <w:tc>
          <w:tcPr>
            <w:tcW w:w="10490" w:type="dxa"/>
          </w:tcPr>
          <w:p w14:paraId="5767E2CE" w14:textId="77777777" w:rsidR="002A685C" w:rsidRPr="00815324" w:rsidRDefault="002A685C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15324">
              <w:rPr>
                <w:rFonts w:cs="Times New Roman"/>
                <w:sz w:val="24"/>
                <w:szCs w:val="24"/>
              </w:rPr>
              <w:t>Valsts izglītības iestāde</w:t>
            </w:r>
          </w:p>
        </w:tc>
        <w:tc>
          <w:tcPr>
            <w:tcW w:w="4253" w:type="dxa"/>
          </w:tcPr>
          <w:p w14:paraId="4774CD34" w14:textId="77777777" w:rsidR="002A685C" w:rsidRPr="00815324" w:rsidRDefault="002A685C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97072" w:rsidRPr="00697072" w14:paraId="2B19B403" w14:textId="77777777" w:rsidTr="00F84E28">
        <w:tc>
          <w:tcPr>
            <w:tcW w:w="10490" w:type="dxa"/>
          </w:tcPr>
          <w:p w14:paraId="5FA78F7E" w14:textId="0FE8B9BD" w:rsidR="00F938A9" w:rsidRPr="00815324" w:rsidRDefault="00F938A9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15324">
              <w:rPr>
                <w:rFonts w:cs="Times New Roman"/>
                <w:sz w:val="24"/>
                <w:szCs w:val="24"/>
              </w:rPr>
              <w:t>Privātā izglītības iestāde</w:t>
            </w:r>
          </w:p>
        </w:tc>
        <w:tc>
          <w:tcPr>
            <w:tcW w:w="4253" w:type="dxa"/>
          </w:tcPr>
          <w:p w14:paraId="3A38AB8B" w14:textId="77777777" w:rsidR="00F938A9" w:rsidRPr="00815324" w:rsidRDefault="00F938A9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4E167DB0" w14:textId="77777777" w:rsidR="002A685C" w:rsidRPr="00815324" w:rsidRDefault="002A685C" w:rsidP="00815324">
      <w:pPr>
        <w:spacing w:after="0" w:line="240" w:lineRule="auto"/>
        <w:ind w:firstLine="0"/>
        <w:rPr>
          <w:rFonts w:cs="Times New Roman"/>
          <w:szCs w:val="28"/>
        </w:rPr>
      </w:pPr>
    </w:p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10490"/>
        <w:gridCol w:w="4253"/>
      </w:tblGrid>
      <w:tr w:rsidR="00697072" w:rsidRPr="00697072" w14:paraId="48A6F6FF" w14:textId="77777777" w:rsidTr="00F84E28">
        <w:tc>
          <w:tcPr>
            <w:tcW w:w="10490" w:type="dxa"/>
          </w:tcPr>
          <w:p w14:paraId="4FE0A22D" w14:textId="77777777" w:rsidR="002A685C" w:rsidRPr="00815324" w:rsidRDefault="002A685C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15324">
              <w:rPr>
                <w:rFonts w:cs="Times New Roman"/>
                <w:sz w:val="24"/>
                <w:szCs w:val="24"/>
              </w:rPr>
              <w:t>Pārskata gads</w:t>
            </w:r>
          </w:p>
        </w:tc>
        <w:tc>
          <w:tcPr>
            <w:tcW w:w="4253" w:type="dxa"/>
          </w:tcPr>
          <w:p w14:paraId="77BA7EFF" w14:textId="77777777" w:rsidR="002A685C" w:rsidRPr="00815324" w:rsidRDefault="002A685C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97072" w:rsidRPr="00697072" w14:paraId="0EC214F7" w14:textId="77777777" w:rsidTr="00F84E28">
        <w:tc>
          <w:tcPr>
            <w:tcW w:w="10490" w:type="dxa"/>
          </w:tcPr>
          <w:p w14:paraId="1F82F543" w14:textId="2A00A015" w:rsidR="00F938A9" w:rsidRPr="00815324" w:rsidRDefault="00F938A9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15324">
              <w:rPr>
                <w:rFonts w:cs="Times New Roman"/>
                <w:sz w:val="24"/>
                <w:szCs w:val="24"/>
              </w:rPr>
              <w:t>Pārskata periods</w:t>
            </w:r>
          </w:p>
        </w:tc>
        <w:tc>
          <w:tcPr>
            <w:tcW w:w="4253" w:type="dxa"/>
          </w:tcPr>
          <w:p w14:paraId="7E07DD4F" w14:textId="77777777" w:rsidR="00F938A9" w:rsidRPr="00815324" w:rsidRDefault="00F938A9" w:rsidP="0081532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485E5FF1" w14:textId="77777777" w:rsidR="002A685C" w:rsidRPr="00815324" w:rsidRDefault="002A685C" w:rsidP="00815324">
      <w:pPr>
        <w:spacing w:after="0" w:line="240" w:lineRule="auto"/>
        <w:ind w:firstLine="0"/>
        <w:rPr>
          <w:rFonts w:cs="Times New Roman"/>
          <w:szCs w:val="28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850"/>
        <w:gridCol w:w="1134"/>
        <w:gridCol w:w="993"/>
        <w:gridCol w:w="1134"/>
        <w:gridCol w:w="1275"/>
        <w:gridCol w:w="1418"/>
        <w:gridCol w:w="1417"/>
        <w:gridCol w:w="1418"/>
        <w:gridCol w:w="1276"/>
      </w:tblGrid>
      <w:tr w:rsidR="00697072" w:rsidRPr="00697072" w14:paraId="73B435DE" w14:textId="77777777" w:rsidTr="00B43E5B">
        <w:tc>
          <w:tcPr>
            <w:tcW w:w="1418" w:type="dxa"/>
            <w:vMerge w:val="restart"/>
            <w:vAlign w:val="center"/>
          </w:tcPr>
          <w:p w14:paraId="67936914" w14:textId="7E5D9095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Pārskata mēnesis</w:t>
            </w:r>
          </w:p>
        </w:tc>
        <w:tc>
          <w:tcPr>
            <w:tcW w:w="1276" w:type="dxa"/>
            <w:vMerge w:val="restart"/>
            <w:vAlign w:val="center"/>
          </w:tcPr>
          <w:p w14:paraId="69572019" w14:textId="66B90F77" w:rsidR="00DF3667" w:rsidRPr="00815324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Finansējuma atlikums (+)/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br/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pārtēriņš (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–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) uz pārskata perioda sākumu</w:t>
            </w:r>
          </w:p>
        </w:tc>
        <w:tc>
          <w:tcPr>
            <w:tcW w:w="1134" w:type="dxa"/>
            <w:vMerge w:val="restart"/>
            <w:vAlign w:val="center"/>
          </w:tcPr>
          <w:p w14:paraId="2140A709" w14:textId="41CAFAD6" w:rsidR="00DF3667" w:rsidRPr="00815324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Izglītojamo skaits, kuriem apmaksāts asistenta pakalpojums</w:t>
            </w:r>
          </w:p>
        </w:tc>
        <w:tc>
          <w:tcPr>
            <w:tcW w:w="850" w:type="dxa"/>
            <w:vMerge w:val="restart"/>
            <w:vAlign w:val="center"/>
          </w:tcPr>
          <w:p w14:paraId="3D99214A" w14:textId="33256BC7" w:rsidR="00DF3667" w:rsidRPr="00815324" w:rsidRDefault="00DF3667" w:rsidP="00815324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Asistentu skaits</w:t>
            </w:r>
          </w:p>
        </w:tc>
        <w:tc>
          <w:tcPr>
            <w:tcW w:w="1134" w:type="dxa"/>
            <w:vMerge w:val="restart"/>
            <w:vAlign w:val="center"/>
          </w:tcPr>
          <w:p w14:paraId="066B00FC" w14:textId="69FABB7B" w:rsidR="00DF3667" w:rsidRPr="00815324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Faktiski nostrādāto stundu skaits pārskata periodā</w:t>
            </w:r>
          </w:p>
        </w:tc>
        <w:tc>
          <w:tcPr>
            <w:tcW w:w="993" w:type="dxa"/>
            <w:vMerge w:val="restart"/>
            <w:vAlign w:val="center"/>
          </w:tcPr>
          <w:p w14:paraId="3A3998F4" w14:textId="4CCA9F71" w:rsidR="00DF3667" w:rsidRPr="00815324" w:rsidRDefault="00DF3667" w:rsidP="00815324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Pārskata periodā saņemtais finansējums</w:t>
            </w:r>
          </w:p>
        </w:tc>
        <w:tc>
          <w:tcPr>
            <w:tcW w:w="6662" w:type="dxa"/>
            <w:gridSpan w:val="5"/>
            <w:vAlign w:val="center"/>
          </w:tcPr>
          <w:p w14:paraId="3646033F" w14:textId="26ED86F1" w:rsidR="00DF3667" w:rsidRPr="00815324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Pārskata periodā izlietotais finansējums, </w:t>
            </w:r>
            <w:r w:rsidRPr="00815324">
              <w:rPr>
                <w:rFonts w:eastAsia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276" w:type="dxa"/>
            <w:vMerge w:val="restart"/>
            <w:vAlign w:val="center"/>
          </w:tcPr>
          <w:p w14:paraId="73CBFCF5" w14:textId="30372DC3" w:rsidR="00DF3667" w:rsidRPr="00815324" w:rsidRDefault="00033AA3">
            <w:pPr>
              <w:ind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Finansējuma atlikums (+)/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br/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pārtēriņš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(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–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) uz pārskata perioda beigām</w:t>
            </w:r>
            <w:r w:rsidR="00A73B08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</w:t>
            </w:r>
            <w:r w:rsidR="00A73B08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br/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(1.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 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+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5.</w:t>
            </w:r>
            <w:r w:rsidR="008F60B3"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 – 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10.)</w:t>
            </w:r>
          </w:p>
        </w:tc>
      </w:tr>
      <w:tr w:rsidR="00697072" w:rsidRPr="00697072" w14:paraId="087BBEA3" w14:textId="77777777" w:rsidTr="00D90F87">
        <w:tc>
          <w:tcPr>
            <w:tcW w:w="1418" w:type="dxa"/>
            <w:vMerge/>
          </w:tcPr>
          <w:p w14:paraId="6383710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</w:tcPr>
          <w:p w14:paraId="4493B1E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</w:tcPr>
          <w:p w14:paraId="7A3B90F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</w:tcPr>
          <w:p w14:paraId="07C83E4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</w:tcPr>
          <w:p w14:paraId="02D3959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vMerge/>
          </w:tcPr>
          <w:p w14:paraId="73CC768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A42AC5A" w14:textId="4FE36589" w:rsidR="00DF3667" w:rsidRPr="00697072" w:rsidRDefault="00A73B08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1100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br/>
            </w:r>
            <w:r w:rsidR="00DF3667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Atalgojums</w:t>
            </w:r>
          </w:p>
        </w:tc>
        <w:tc>
          <w:tcPr>
            <w:tcW w:w="1275" w:type="dxa"/>
            <w:vAlign w:val="center"/>
          </w:tcPr>
          <w:p w14:paraId="5BE4D43C" w14:textId="6BB6955F" w:rsidR="00DF3667" w:rsidRPr="00697072" w:rsidRDefault="00DF3667" w:rsidP="00815324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1210</w:t>
            </w:r>
            <w:r w:rsidR="00A73B08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br/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8" w:type="dxa"/>
            <w:vAlign w:val="center"/>
          </w:tcPr>
          <w:p w14:paraId="77A7BA48" w14:textId="2CCFB978" w:rsidR="00DF3667" w:rsidRPr="00815324" w:rsidRDefault="00033AA3" w:rsidP="00815324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Finansējums </w:t>
            </w:r>
            <w:r w:rsidRPr="00815324">
              <w:rPr>
                <w:rFonts w:eastAsia="Times New Roman" w:cs="Times New Roman"/>
                <w:spacing w:val="-3"/>
                <w:sz w:val="18"/>
                <w:szCs w:val="18"/>
                <w:lang w:eastAsia="lv-LV"/>
              </w:rPr>
              <w:t>pašnodarbinātajām</w:t>
            </w:r>
            <w:r w:rsidRPr="00815324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personām, kuru saimnieciskā darbība ir asistenta pakalpojuma sniegšana</w:t>
            </w:r>
          </w:p>
        </w:tc>
        <w:tc>
          <w:tcPr>
            <w:tcW w:w="1417" w:type="dxa"/>
            <w:vAlign w:val="center"/>
          </w:tcPr>
          <w:p w14:paraId="09ADE89D" w14:textId="037CFED7" w:rsidR="00DF3667" w:rsidRPr="00815324" w:rsidRDefault="004F0EB4" w:rsidP="00815324">
            <w:pPr>
              <w:ind w:left="-57" w:right="-57" w:firstLine="0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Finansējums personām, kuras sniedz asistenta pakalpojumu un </w:t>
            </w:r>
            <w:r w:rsidRPr="004F0EB4">
              <w:rPr>
                <w:color w:val="000000"/>
                <w:sz w:val="18"/>
                <w:szCs w:val="18"/>
                <w:shd w:val="clear" w:color="auto" w:fill="FFFFFF"/>
              </w:rPr>
              <w:t>kurām</w:t>
            </w:r>
            <w:r w:rsidRPr="00815324" w:rsidDel="004F0EB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33AA3" w:rsidRPr="00815324">
              <w:rPr>
                <w:color w:val="000000"/>
                <w:sz w:val="18"/>
                <w:szCs w:val="18"/>
                <w:shd w:val="clear" w:color="auto" w:fill="FFFFFF"/>
              </w:rPr>
              <w:t xml:space="preserve">tiek piemērots </w:t>
            </w:r>
            <w:r w:rsidR="00E93C76" w:rsidRPr="00815324">
              <w:rPr>
                <w:color w:val="000000"/>
                <w:sz w:val="18"/>
                <w:szCs w:val="18"/>
                <w:shd w:val="clear" w:color="auto" w:fill="FFFFFF"/>
              </w:rPr>
              <w:t xml:space="preserve">mikrouzņēmumu </w:t>
            </w:r>
            <w:r w:rsidR="00033AA3" w:rsidRPr="00815324">
              <w:rPr>
                <w:color w:val="000000"/>
                <w:sz w:val="18"/>
                <w:szCs w:val="18"/>
                <w:shd w:val="clear" w:color="auto" w:fill="FFFFFF"/>
              </w:rPr>
              <w:t>nodokļa režīms</w:t>
            </w:r>
          </w:p>
        </w:tc>
        <w:tc>
          <w:tcPr>
            <w:tcW w:w="1418" w:type="dxa"/>
            <w:vAlign w:val="center"/>
          </w:tcPr>
          <w:p w14:paraId="47B5790D" w14:textId="6D493F71" w:rsidR="00DF3667" w:rsidRPr="00697072" w:rsidRDefault="00033AA3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  <w:r w:rsidR="00A73B08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br/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(6.</w:t>
            </w:r>
            <w:r w:rsidR="008F60B3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8F60B3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7.</w:t>
            </w:r>
            <w:r w:rsidR="008F60B3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8F60B3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8.</w:t>
            </w:r>
            <w:r w:rsidR="008F60B3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 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8F60B3"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9.)</w:t>
            </w:r>
          </w:p>
        </w:tc>
        <w:tc>
          <w:tcPr>
            <w:tcW w:w="1276" w:type="dxa"/>
            <w:vMerge/>
          </w:tcPr>
          <w:p w14:paraId="78A2614D" w14:textId="36F748ED" w:rsidR="00DF3667" w:rsidRPr="00697072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6C9158D6" w14:textId="77777777" w:rsidTr="00D90F87">
        <w:tc>
          <w:tcPr>
            <w:tcW w:w="1418" w:type="dxa"/>
          </w:tcPr>
          <w:p w14:paraId="0E4D29D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276" w:type="dxa"/>
          </w:tcPr>
          <w:p w14:paraId="414AE08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34" w:type="dxa"/>
          </w:tcPr>
          <w:p w14:paraId="390A3725" w14:textId="33125C3A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" w:type="dxa"/>
          </w:tcPr>
          <w:p w14:paraId="0BAB7EDA" w14:textId="6268E2D4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</w:tcPr>
          <w:p w14:paraId="3230AA76" w14:textId="6CD2BCF9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3" w:type="dxa"/>
          </w:tcPr>
          <w:p w14:paraId="66E633DF" w14:textId="6BA8941D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</w:tcPr>
          <w:p w14:paraId="37A66ED9" w14:textId="26D660AF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75" w:type="dxa"/>
          </w:tcPr>
          <w:p w14:paraId="06F756D9" w14:textId="24C88F6C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418" w:type="dxa"/>
          </w:tcPr>
          <w:p w14:paraId="59CB7868" w14:textId="636F9B04" w:rsidR="00DF3667" w:rsidRPr="00697072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417" w:type="dxa"/>
          </w:tcPr>
          <w:p w14:paraId="6B5748AD" w14:textId="4B9AC42A" w:rsidR="00DF3667" w:rsidRPr="00697072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8" w:type="dxa"/>
          </w:tcPr>
          <w:p w14:paraId="2DFDC11E" w14:textId="0B6465B0" w:rsidR="00DF3667" w:rsidRPr="00697072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76" w:type="dxa"/>
          </w:tcPr>
          <w:p w14:paraId="6DD702BF" w14:textId="32427423" w:rsidR="00DF3667" w:rsidRPr="00697072" w:rsidRDefault="00DF3667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11</w:t>
            </w:r>
          </w:p>
        </w:tc>
      </w:tr>
      <w:tr w:rsidR="00697072" w:rsidRPr="00697072" w14:paraId="08EA6D39" w14:textId="77777777" w:rsidTr="00D90F87">
        <w:tc>
          <w:tcPr>
            <w:tcW w:w="1418" w:type="dxa"/>
          </w:tcPr>
          <w:p w14:paraId="5F041C78" w14:textId="2FA58CA9" w:rsidR="00DF3667" w:rsidRPr="00697072" w:rsidRDefault="00DF3667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BC51B4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8A698D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0052945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122CD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939252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E8908D9" w14:textId="2860EB8C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1A256EC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916E11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DB774F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659842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DC7112A" w14:textId="7AE67669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385DD955" w14:textId="77777777" w:rsidTr="00D90F87">
        <w:tc>
          <w:tcPr>
            <w:tcW w:w="1418" w:type="dxa"/>
          </w:tcPr>
          <w:p w14:paraId="01A713CC" w14:textId="3691C4A3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276" w:type="dxa"/>
          </w:tcPr>
          <w:p w14:paraId="01AF316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05491A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0D57F84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BB40CF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6F1A0CA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22477CA" w14:textId="105384CB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C14554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31856E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7939E6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D21E21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7CB2BD9" w14:textId="4BCAA049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2BF238B9" w14:textId="77777777" w:rsidTr="00D90F87">
        <w:tc>
          <w:tcPr>
            <w:tcW w:w="1418" w:type="dxa"/>
          </w:tcPr>
          <w:p w14:paraId="2FD617F3" w14:textId="2EF2004C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276" w:type="dxa"/>
          </w:tcPr>
          <w:p w14:paraId="43619D9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196DA7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5892363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074CB7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DD1536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5841F7C" w14:textId="55634EC2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8B89E8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DA7848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70B588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3CED53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E931750" w14:textId="3773F72C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5CDDE934" w14:textId="77777777" w:rsidTr="00D90F87">
        <w:tc>
          <w:tcPr>
            <w:tcW w:w="1418" w:type="dxa"/>
          </w:tcPr>
          <w:p w14:paraId="1735EA4C" w14:textId="15023D74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276" w:type="dxa"/>
          </w:tcPr>
          <w:p w14:paraId="0A6A2F9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8866E8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3A8ACB4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55644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433CBA8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FD82B6B" w14:textId="4279519D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30698A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F1A8D3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074EC0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341577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8A85552" w14:textId="76DE26FA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5058188C" w14:textId="77777777" w:rsidTr="00D90F87">
        <w:tc>
          <w:tcPr>
            <w:tcW w:w="1418" w:type="dxa"/>
          </w:tcPr>
          <w:p w14:paraId="1A04A84E" w14:textId="5DC1BE95" w:rsidR="00DF3667" w:rsidRPr="00697072" w:rsidRDefault="00DF3667" w:rsidP="00815324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3FB9708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6861D6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74F15E7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75554E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BB9D9F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A2F9A47" w14:textId="0BCD3D6B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F3E6F2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93C2C4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D0EA3A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14BA75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47C51BA" w14:textId="438A3669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7C30F9D5" w14:textId="77777777" w:rsidTr="00D90F87">
        <w:tc>
          <w:tcPr>
            <w:tcW w:w="1418" w:type="dxa"/>
          </w:tcPr>
          <w:p w14:paraId="03DAB48C" w14:textId="790FA070" w:rsidR="00DF3667" w:rsidRPr="00697072" w:rsidRDefault="00DF3667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>Iepriekšējā pārskata perioda korekcija</w:t>
            </w:r>
          </w:p>
        </w:tc>
        <w:tc>
          <w:tcPr>
            <w:tcW w:w="1276" w:type="dxa"/>
          </w:tcPr>
          <w:p w14:paraId="784D0E2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68BA03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3A629E2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35639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79B4755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B00A4CF" w14:textId="03EB6CAA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2BF846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847FA4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69ED1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197DCC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C5A385D" w14:textId="28564212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4F29B6DC" w14:textId="77777777" w:rsidTr="00D90F87">
        <w:tc>
          <w:tcPr>
            <w:tcW w:w="1418" w:type="dxa"/>
          </w:tcPr>
          <w:p w14:paraId="4FB9DDE0" w14:textId="50532C64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276" w:type="dxa"/>
          </w:tcPr>
          <w:p w14:paraId="2881BCF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D2500A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159B571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EDB4D9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E7F7B4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406181D" w14:textId="1B079F85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8D7EE6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EE2869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1AEF77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D8C566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35140A5" w14:textId="59FE583F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29F8F10C" w14:textId="77777777" w:rsidTr="00D90F87">
        <w:tc>
          <w:tcPr>
            <w:tcW w:w="1418" w:type="dxa"/>
          </w:tcPr>
          <w:p w14:paraId="32CD3D97" w14:textId="6213F4EC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276" w:type="dxa"/>
          </w:tcPr>
          <w:p w14:paraId="06C0886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4AF048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7D51A1D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9A6785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A3DA67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FB8B67B" w14:textId="4BA8EA9F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C3D5C7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911C5A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A8E59C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B550C2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9D98CBC" w14:textId="5BDCA93A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6D2C7DFE" w14:textId="77777777" w:rsidTr="00D90F87">
        <w:tc>
          <w:tcPr>
            <w:tcW w:w="1418" w:type="dxa"/>
          </w:tcPr>
          <w:p w14:paraId="4FA979A5" w14:textId="2A578E09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276" w:type="dxa"/>
          </w:tcPr>
          <w:p w14:paraId="33AC971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ACF39D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604483E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7C388F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33FA82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076D9F1" w14:textId="1A27C866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A93C81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271115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DA6395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22CE09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6B447A0" w14:textId="48C03E8F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006FE83D" w14:textId="77777777" w:rsidTr="00D90F87">
        <w:tc>
          <w:tcPr>
            <w:tcW w:w="1418" w:type="dxa"/>
          </w:tcPr>
          <w:p w14:paraId="40F727DE" w14:textId="4C7024CA" w:rsidR="00DF3667" w:rsidRPr="00697072" w:rsidRDefault="00DF3667" w:rsidP="00815324">
            <w:pPr>
              <w:ind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4C14BC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E4EC78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61CFAD3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F96EC0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75F0FE6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51BDD4B" w14:textId="3C21C0DF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905824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362C2B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D03DE0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9B0150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ED3DA70" w14:textId="5EB10F98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641E088B" w14:textId="77777777" w:rsidTr="00D90F87">
        <w:tc>
          <w:tcPr>
            <w:tcW w:w="1418" w:type="dxa"/>
          </w:tcPr>
          <w:p w14:paraId="74B4054C" w14:textId="36CE51C6" w:rsidR="00DF3667" w:rsidRPr="00697072" w:rsidRDefault="00DF3667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93C1FF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5590A3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2343DED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1B01DE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391733D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5244913" w14:textId="395CD2FE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C141D2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AAEDF1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779F02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BA7C03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1B1FC04" w14:textId="0323B372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65E8322C" w14:textId="77777777" w:rsidTr="00D90F87">
        <w:tc>
          <w:tcPr>
            <w:tcW w:w="1418" w:type="dxa"/>
          </w:tcPr>
          <w:p w14:paraId="24422B22" w14:textId="1ADE9D19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276" w:type="dxa"/>
          </w:tcPr>
          <w:p w14:paraId="197D6A2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F46E1F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1E10CDD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44B8AC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40F391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68D36BB" w14:textId="4A2B8EB9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2279A42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F9AA47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01162F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8B1BEB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AA42339" w14:textId="3D866A88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204E070D" w14:textId="77777777" w:rsidTr="00D90F87">
        <w:tc>
          <w:tcPr>
            <w:tcW w:w="1418" w:type="dxa"/>
          </w:tcPr>
          <w:p w14:paraId="18EA091E" w14:textId="76F64BE7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276" w:type="dxa"/>
          </w:tcPr>
          <w:p w14:paraId="656C719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647047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351B4BB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355B41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41DA27E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2CB218D" w14:textId="570DA75B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35D2FF1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A91835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5DD084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ED10AF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B680329" w14:textId="05EF0CF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25F65CC4" w14:textId="77777777" w:rsidTr="00D90F87">
        <w:tc>
          <w:tcPr>
            <w:tcW w:w="1418" w:type="dxa"/>
          </w:tcPr>
          <w:p w14:paraId="6702ACF5" w14:textId="14795B00" w:rsidR="00DF3667" w:rsidRPr="00697072" w:rsidRDefault="00DF3667" w:rsidP="00815324">
            <w:pPr>
              <w:ind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CB2259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D2CE8A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2477742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2FF587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C2CAE7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44F3355" w14:textId="69397439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6D70F32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12D36F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1C8F3F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E74428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EA2C898" w14:textId="749E7826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73C6BC5B" w14:textId="77777777" w:rsidTr="00D90F87">
        <w:tc>
          <w:tcPr>
            <w:tcW w:w="1418" w:type="dxa"/>
          </w:tcPr>
          <w:p w14:paraId="06305FAE" w14:textId="70AE2FE6" w:rsidR="00DF3667" w:rsidRPr="00697072" w:rsidRDefault="00DF3667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08D34BF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64CC4E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3390046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F3AD68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93C6B7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B29451D" w14:textId="392DB318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94D517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63AF34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A90CE7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7C5A55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E94F6A4" w14:textId="4D288D68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52D9EDE4" w14:textId="77777777" w:rsidTr="00D90F87">
        <w:tc>
          <w:tcPr>
            <w:tcW w:w="1418" w:type="dxa"/>
          </w:tcPr>
          <w:p w14:paraId="6BBA33F2" w14:textId="45B96E19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276" w:type="dxa"/>
          </w:tcPr>
          <w:p w14:paraId="6167B9B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4F40A8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626554F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8004D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5D09CDB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263730" w14:textId="0DF3CCF0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7820301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5E19B6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464E9D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30A218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B12948E" w14:textId="6464331F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77325939" w14:textId="77777777" w:rsidTr="00D90F87">
        <w:tc>
          <w:tcPr>
            <w:tcW w:w="1418" w:type="dxa"/>
          </w:tcPr>
          <w:p w14:paraId="666EDC1F" w14:textId="1F9D0E00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276" w:type="dxa"/>
          </w:tcPr>
          <w:p w14:paraId="45FF81E1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EDF81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5039BFF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42C4DB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22DDEC1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A89454B" w14:textId="5C256D46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4F34125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1BB10B2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F29626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745ED45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2064FDA" w14:textId="66B4F5C8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7118BA31" w14:textId="77777777" w:rsidTr="00D90F87">
        <w:tc>
          <w:tcPr>
            <w:tcW w:w="1418" w:type="dxa"/>
          </w:tcPr>
          <w:p w14:paraId="09817B4D" w14:textId="672EDE74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276" w:type="dxa"/>
          </w:tcPr>
          <w:p w14:paraId="4763E28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8A1D75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2648210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BA6FD0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0D8CFA2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42ADA65" w14:textId="36B65FFB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B09427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D4786A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C83DF9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E2BA8F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C068493" w14:textId="60AC5452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66D4E98E" w14:textId="77777777" w:rsidTr="00D90F87">
        <w:tc>
          <w:tcPr>
            <w:tcW w:w="1418" w:type="dxa"/>
          </w:tcPr>
          <w:p w14:paraId="3564C0F4" w14:textId="3559A10D" w:rsidR="00DF3667" w:rsidRPr="00697072" w:rsidRDefault="00DF3667" w:rsidP="00815324">
            <w:pPr>
              <w:ind w:firstLine="325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276" w:type="dxa"/>
          </w:tcPr>
          <w:p w14:paraId="754B138C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788672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6979A43E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140630D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13221D5F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C721469" w14:textId="7466499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5F85B50B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77F49F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4BD0A6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7EF7950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945D3A3" w14:textId="7BFE5AD4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697072" w:rsidRPr="00697072" w14:paraId="4442FB85" w14:textId="77777777" w:rsidTr="00D90F87">
        <w:tc>
          <w:tcPr>
            <w:tcW w:w="1418" w:type="dxa"/>
          </w:tcPr>
          <w:p w14:paraId="01D5D151" w14:textId="36143DD3" w:rsidR="00DF3667" w:rsidRPr="00815324" w:rsidRDefault="00DF3667" w:rsidP="00815324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18"/>
                <w:szCs w:val="18"/>
                <w:lang w:eastAsia="lv-LV"/>
              </w:rPr>
            </w:pPr>
            <w:r w:rsidRPr="00697072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02CBBE36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7ADAD28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3904B793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674B6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14:paraId="4A096634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BE35256" w14:textId="1ECD6E33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</w:tcPr>
          <w:p w14:paraId="0ADAA2A9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09ED2CA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8352BE2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65BF4A7" w14:textId="77777777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80934FF" w14:textId="690DED78" w:rsidR="00DF3667" w:rsidRPr="00697072" w:rsidRDefault="00DF3667" w:rsidP="00815324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7DED6D77" w14:textId="4A2F6BE5" w:rsidR="00A34249" w:rsidRPr="00697072" w:rsidRDefault="00A34249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184B0576" w14:textId="77777777" w:rsidR="00972AF2" w:rsidRPr="00697072" w:rsidRDefault="00972AF2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2F188BF0" w14:textId="5FE7554D" w:rsidR="00033AA3" w:rsidRPr="00697072" w:rsidRDefault="00033AA3" w:rsidP="00B94809">
      <w:pPr>
        <w:spacing w:after="0"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 w:rsidRPr="00697072">
        <w:rPr>
          <w:rFonts w:cs="Times New Roman"/>
          <w:sz w:val="20"/>
          <w:szCs w:val="20"/>
        </w:rPr>
        <w:t>ŠIS DOKUMENTS IR SAGATAVOTS UN ELEKTRONISKI PARAKSTĪTS EPĀRSKATOS,</w:t>
      </w:r>
      <w:r w:rsidR="007F35B0" w:rsidRPr="00697072">
        <w:rPr>
          <w:rFonts w:cs="Times New Roman"/>
          <w:sz w:val="20"/>
          <w:szCs w:val="20"/>
        </w:rPr>
        <w:t xml:space="preserve"> </w:t>
      </w:r>
      <w:r w:rsidRPr="00697072">
        <w:rPr>
          <w:rFonts w:cs="Times New Roman"/>
          <w:sz w:val="20"/>
          <w:szCs w:val="20"/>
        </w:rPr>
        <w:br/>
        <w:t>IZMANTOJOT EPĀRSKATU AUTENTIFIKĀCIJAS RĪKUS</w:t>
      </w:r>
      <w:r w:rsidR="007D6091" w:rsidRPr="00697072">
        <w:rPr>
          <w:rFonts w:cs="Times New Roman"/>
          <w:sz w:val="20"/>
          <w:szCs w:val="20"/>
        </w:rPr>
        <w:t>"</w:t>
      </w:r>
    </w:p>
    <w:p w14:paraId="4E9E6F16" w14:textId="77777777" w:rsidR="00033AA3" w:rsidRPr="00697072" w:rsidRDefault="00033AA3" w:rsidP="00972AF2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F442D1F" w14:textId="77777777" w:rsidR="00E4792B" w:rsidRPr="00697072" w:rsidRDefault="00E4792B" w:rsidP="00972AF2">
      <w:pPr>
        <w:tabs>
          <w:tab w:val="left" w:pos="1110"/>
        </w:tabs>
        <w:spacing w:after="0" w:line="240" w:lineRule="auto"/>
        <w:ind w:firstLine="0"/>
        <w:rPr>
          <w:rFonts w:eastAsia="Times New Roman" w:cs="Times New Roman"/>
          <w:sz w:val="22"/>
          <w:lang w:eastAsia="lv-LV"/>
        </w:rPr>
      </w:pPr>
    </w:p>
    <w:p w14:paraId="2BA01214" w14:textId="174D65B9" w:rsidR="00972AF2" w:rsidRPr="00697072" w:rsidRDefault="00972AF2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  <w:sectPr w:rsidR="00972AF2" w:rsidRPr="00697072" w:rsidSect="00D142D7">
          <w:pgSz w:w="16838" w:h="11906" w:orient="landscape" w:code="9"/>
          <w:pgMar w:top="1418" w:right="1134" w:bottom="1134" w:left="1701" w:header="709" w:footer="709" w:gutter="0"/>
          <w:cols w:space="708"/>
          <w:docGrid w:linePitch="381"/>
        </w:sectPr>
      </w:pPr>
    </w:p>
    <w:p w14:paraId="00F25D3F" w14:textId="4F819C5A" w:rsidR="002E7EC0" w:rsidRPr="00697072" w:rsidRDefault="002E7EC0" w:rsidP="007D6091">
      <w:pPr>
        <w:spacing w:after="0" w:line="240" w:lineRule="auto"/>
        <w:ind w:firstLine="709"/>
        <w:contextualSpacing/>
        <w:jc w:val="both"/>
      </w:pPr>
      <w:r w:rsidRPr="00697072">
        <w:lastRenderedPageBreak/>
        <w:t>2.</w:t>
      </w:r>
      <w:r w:rsidR="00C10417" w:rsidRPr="00697072">
        <w:t> </w:t>
      </w:r>
      <w:r w:rsidRPr="00697072">
        <w:t>Noteikumi stājas spēkā 2021. gada 1. janvārī.</w:t>
      </w:r>
    </w:p>
    <w:p w14:paraId="4BAA9159" w14:textId="6996D753" w:rsidR="002E7EC0" w:rsidRPr="00697072" w:rsidRDefault="002E7EC0" w:rsidP="007D6091">
      <w:pPr>
        <w:spacing w:after="0" w:line="240" w:lineRule="auto"/>
        <w:ind w:firstLine="709"/>
        <w:contextualSpacing/>
        <w:jc w:val="both"/>
      </w:pPr>
    </w:p>
    <w:p w14:paraId="5ACF7CBE" w14:textId="77777777" w:rsidR="002E7EC0" w:rsidRPr="00697072" w:rsidRDefault="002E7EC0" w:rsidP="007D6091">
      <w:pPr>
        <w:spacing w:after="0" w:line="240" w:lineRule="auto"/>
        <w:ind w:firstLine="709"/>
        <w:contextualSpacing/>
        <w:jc w:val="both"/>
      </w:pPr>
    </w:p>
    <w:p w14:paraId="64168A61" w14:textId="77777777" w:rsidR="007D6091" w:rsidRPr="00697072" w:rsidRDefault="007D6091" w:rsidP="007D6091">
      <w:pPr>
        <w:tabs>
          <w:tab w:val="left" w:pos="6840"/>
        </w:tabs>
        <w:spacing w:after="0" w:line="240" w:lineRule="auto"/>
        <w:ind w:firstLine="709"/>
        <w:jc w:val="both"/>
        <w:rPr>
          <w:szCs w:val="28"/>
        </w:rPr>
      </w:pPr>
    </w:p>
    <w:p w14:paraId="0E1C110D" w14:textId="77777777" w:rsidR="007D6091" w:rsidRPr="00697072" w:rsidRDefault="007D6091" w:rsidP="007D609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97072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69707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15324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697072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5C6E4CE" w14:textId="77777777" w:rsidR="007D6091" w:rsidRPr="00697072" w:rsidRDefault="007D6091" w:rsidP="007D609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A449ECF" w14:textId="77777777" w:rsidR="007D6091" w:rsidRPr="00697072" w:rsidRDefault="007D6091" w:rsidP="007D609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58D3B39" w14:textId="77777777" w:rsidR="007D6091" w:rsidRPr="00697072" w:rsidRDefault="007D6091" w:rsidP="007D609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625D340" w14:textId="77777777" w:rsidR="007D6091" w:rsidRPr="00697072" w:rsidRDefault="007D6091" w:rsidP="007D609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97072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69707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7D6091" w:rsidRPr="00697072" w:rsidSect="00972AF2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0353" w14:textId="77777777" w:rsidR="003A4DD7" w:rsidRDefault="003A4DD7" w:rsidP="0016345D">
      <w:pPr>
        <w:spacing w:after="0" w:line="240" w:lineRule="auto"/>
      </w:pPr>
      <w:r>
        <w:separator/>
      </w:r>
    </w:p>
  </w:endnote>
  <w:endnote w:type="continuationSeparator" w:id="0">
    <w:p w14:paraId="3522EF95" w14:textId="77777777" w:rsidR="003A4DD7" w:rsidRDefault="003A4DD7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2FD5" w14:textId="77777777" w:rsidR="007D6091" w:rsidRPr="007D6091" w:rsidRDefault="007D6091" w:rsidP="007D609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N2539_0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7596" w14:textId="30562E31" w:rsidR="007D6091" w:rsidRPr="007D6091" w:rsidRDefault="007D6091" w:rsidP="007D609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N2539_0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D0FA" w14:textId="77777777" w:rsidR="003A4DD7" w:rsidRDefault="003A4DD7" w:rsidP="0016345D">
      <w:pPr>
        <w:spacing w:after="0" w:line="240" w:lineRule="auto"/>
      </w:pPr>
      <w:r>
        <w:separator/>
      </w:r>
    </w:p>
  </w:footnote>
  <w:footnote w:type="continuationSeparator" w:id="0">
    <w:p w14:paraId="65B31E86" w14:textId="77777777" w:rsidR="003A4DD7" w:rsidRDefault="003A4DD7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91755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3E325D1" w14:textId="7A4248D0" w:rsidR="009E4F68" w:rsidRPr="00D93506" w:rsidRDefault="009E4F68" w:rsidP="007D6091">
        <w:pPr>
          <w:pStyle w:val="Header"/>
          <w:ind w:firstLine="0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AD55EE">
          <w:rPr>
            <w:noProof/>
            <w:sz w:val="24"/>
            <w:szCs w:val="24"/>
          </w:rPr>
          <w:t>3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8DA0" w14:textId="77777777" w:rsidR="007D6091" w:rsidRDefault="007D6091" w:rsidP="007D6091">
    <w:pPr>
      <w:pStyle w:val="Header"/>
      <w:ind w:firstLine="0"/>
    </w:pPr>
    <w:r>
      <w:rPr>
        <w:noProof/>
      </w:rPr>
      <w:drawing>
        <wp:inline distT="0" distB="0" distL="0" distR="0" wp14:anchorId="35A71090" wp14:editId="65332B3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C12"/>
    <w:multiLevelType w:val="hybridMultilevel"/>
    <w:tmpl w:val="550AF606"/>
    <w:lvl w:ilvl="0" w:tplc="AA701C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A1842"/>
    <w:multiLevelType w:val="hybridMultilevel"/>
    <w:tmpl w:val="D3C245D4"/>
    <w:lvl w:ilvl="0" w:tplc="ED4E56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C6070"/>
    <w:multiLevelType w:val="hybridMultilevel"/>
    <w:tmpl w:val="89E6A936"/>
    <w:lvl w:ilvl="0" w:tplc="3D0E94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05BBF"/>
    <w:multiLevelType w:val="hybridMultilevel"/>
    <w:tmpl w:val="EB026D76"/>
    <w:lvl w:ilvl="0" w:tplc="DE423B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B6D15"/>
    <w:multiLevelType w:val="hybridMultilevel"/>
    <w:tmpl w:val="ACDE5AB8"/>
    <w:lvl w:ilvl="0" w:tplc="D68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F5226"/>
    <w:multiLevelType w:val="hybridMultilevel"/>
    <w:tmpl w:val="ACF26CC8"/>
    <w:lvl w:ilvl="0" w:tplc="1F8CA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01AF5"/>
    <w:multiLevelType w:val="multilevel"/>
    <w:tmpl w:val="E38E5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7DB5CBB"/>
    <w:multiLevelType w:val="hybridMultilevel"/>
    <w:tmpl w:val="BA58744A"/>
    <w:lvl w:ilvl="0" w:tplc="2F74FD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5D"/>
    <w:rsid w:val="000003B9"/>
    <w:rsid w:val="00000911"/>
    <w:rsid w:val="00001A43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33AA3"/>
    <w:rsid w:val="00041F1E"/>
    <w:rsid w:val="00047B32"/>
    <w:rsid w:val="000518A9"/>
    <w:rsid w:val="000553EB"/>
    <w:rsid w:val="000558A4"/>
    <w:rsid w:val="00063920"/>
    <w:rsid w:val="00064A3F"/>
    <w:rsid w:val="00072417"/>
    <w:rsid w:val="000729E8"/>
    <w:rsid w:val="00072AB6"/>
    <w:rsid w:val="0007353A"/>
    <w:rsid w:val="00081016"/>
    <w:rsid w:val="00090D47"/>
    <w:rsid w:val="000A0CD4"/>
    <w:rsid w:val="000A290A"/>
    <w:rsid w:val="000A3395"/>
    <w:rsid w:val="000A37A9"/>
    <w:rsid w:val="000A44E3"/>
    <w:rsid w:val="000A59A7"/>
    <w:rsid w:val="000B3004"/>
    <w:rsid w:val="000B34B9"/>
    <w:rsid w:val="000B363E"/>
    <w:rsid w:val="000B6A9A"/>
    <w:rsid w:val="000B6B87"/>
    <w:rsid w:val="000B7BAC"/>
    <w:rsid w:val="000C76BE"/>
    <w:rsid w:val="000D567C"/>
    <w:rsid w:val="000D5775"/>
    <w:rsid w:val="000D65C2"/>
    <w:rsid w:val="000E5F6B"/>
    <w:rsid w:val="000E6433"/>
    <w:rsid w:val="000E7D91"/>
    <w:rsid w:val="000F29CC"/>
    <w:rsid w:val="000F7017"/>
    <w:rsid w:val="00100544"/>
    <w:rsid w:val="00101C58"/>
    <w:rsid w:val="00104807"/>
    <w:rsid w:val="0010671C"/>
    <w:rsid w:val="00110AF8"/>
    <w:rsid w:val="00112EBA"/>
    <w:rsid w:val="0011724D"/>
    <w:rsid w:val="00121B1B"/>
    <w:rsid w:val="00121CB4"/>
    <w:rsid w:val="00122F5C"/>
    <w:rsid w:val="001309DC"/>
    <w:rsid w:val="00132E70"/>
    <w:rsid w:val="00141327"/>
    <w:rsid w:val="001436B7"/>
    <w:rsid w:val="00144C54"/>
    <w:rsid w:val="00152A40"/>
    <w:rsid w:val="00152B79"/>
    <w:rsid w:val="00161E6E"/>
    <w:rsid w:val="0016345D"/>
    <w:rsid w:val="00165EF3"/>
    <w:rsid w:val="001760D3"/>
    <w:rsid w:val="0018347F"/>
    <w:rsid w:val="00185B32"/>
    <w:rsid w:val="00187BA1"/>
    <w:rsid w:val="00196217"/>
    <w:rsid w:val="00196B75"/>
    <w:rsid w:val="001A17AF"/>
    <w:rsid w:val="001A7006"/>
    <w:rsid w:val="001A70EE"/>
    <w:rsid w:val="001B1F39"/>
    <w:rsid w:val="001B3A2E"/>
    <w:rsid w:val="001B76B5"/>
    <w:rsid w:val="001C1A47"/>
    <w:rsid w:val="001C5AE6"/>
    <w:rsid w:val="001C6357"/>
    <w:rsid w:val="001E1221"/>
    <w:rsid w:val="001F4471"/>
    <w:rsid w:val="001F63C7"/>
    <w:rsid w:val="002128FA"/>
    <w:rsid w:val="00212A7C"/>
    <w:rsid w:val="0021557A"/>
    <w:rsid w:val="00231467"/>
    <w:rsid w:val="0023243B"/>
    <w:rsid w:val="00257B2E"/>
    <w:rsid w:val="00257BBE"/>
    <w:rsid w:val="00263074"/>
    <w:rsid w:val="002646B2"/>
    <w:rsid w:val="00276A74"/>
    <w:rsid w:val="00283787"/>
    <w:rsid w:val="00284910"/>
    <w:rsid w:val="00285C30"/>
    <w:rsid w:val="00286C03"/>
    <w:rsid w:val="00293DE7"/>
    <w:rsid w:val="002A0BCC"/>
    <w:rsid w:val="002A0FBF"/>
    <w:rsid w:val="002A2072"/>
    <w:rsid w:val="002A279B"/>
    <w:rsid w:val="002A685C"/>
    <w:rsid w:val="002B21D0"/>
    <w:rsid w:val="002B3910"/>
    <w:rsid w:val="002B4D60"/>
    <w:rsid w:val="002C5187"/>
    <w:rsid w:val="002C609F"/>
    <w:rsid w:val="002E140B"/>
    <w:rsid w:val="002E593E"/>
    <w:rsid w:val="002E7EC0"/>
    <w:rsid w:val="002F041C"/>
    <w:rsid w:val="002F2545"/>
    <w:rsid w:val="002F2F9F"/>
    <w:rsid w:val="00303C62"/>
    <w:rsid w:val="00304C37"/>
    <w:rsid w:val="00312EA4"/>
    <w:rsid w:val="00312F00"/>
    <w:rsid w:val="00314E88"/>
    <w:rsid w:val="0031739C"/>
    <w:rsid w:val="00320343"/>
    <w:rsid w:val="0033048B"/>
    <w:rsid w:val="00345DA0"/>
    <w:rsid w:val="00345EE5"/>
    <w:rsid w:val="00354C89"/>
    <w:rsid w:val="00355D1E"/>
    <w:rsid w:val="00357EEC"/>
    <w:rsid w:val="00372680"/>
    <w:rsid w:val="0037421A"/>
    <w:rsid w:val="0038161E"/>
    <w:rsid w:val="00381EF8"/>
    <w:rsid w:val="00384B52"/>
    <w:rsid w:val="00387B61"/>
    <w:rsid w:val="00391BEB"/>
    <w:rsid w:val="00394D78"/>
    <w:rsid w:val="00396982"/>
    <w:rsid w:val="003979D4"/>
    <w:rsid w:val="003A4DD7"/>
    <w:rsid w:val="003A5DFA"/>
    <w:rsid w:val="003A5FD2"/>
    <w:rsid w:val="003B5AFC"/>
    <w:rsid w:val="003C2EC8"/>
    <w:rsid w:val="003C313B"/>
    <w:rsid w:val="003C534E"/>
    <w:rsid w:val="003C72E2"/>
    <w:rsid w:val="003D431B"/>
    <w:rsid w:val="003D73D9"/>
    <w:rsid w:val="003E6D9D"/>
    <w:rsid w:val="003F081C"/>
    <w:rsid w:val="003F3EB6"/>
    <w:rsid w:val="003F3FA2"/>
    <w:rsid w:val="003F63BC"/>
    <w:rsid w:val="0040616A"/>
    <w:rsid w:val="00410066"/>
    <w:rsid w:val="004118C5"/>
    <w:rsid w:val="00421C56"/>
    <w:rsid w:val="004230F2"/>
    <w:rsid w:val="00426FAA"/>
    <w:rsid w:val="00436769"/>
    <w:rsid w:val="0044457F"/>
    <w:rsid w:val="00446A5C"/>
    <w:rsid w:val="004505D1"/>
    <w:rsid w:val="00453C07"/>
    <w:rsid w:val="00456E7C"/>
    <w:rsid w:val="0046672D"/>
    <w:rsid w:val="00466CE1"/>
    <w:rsid w:val="00466D0B"/>
    <w:rsid w:val="00470DEB"/>
    <w:rsid w:val="00483918"/>
    <w:rsid w:val="00484B29"/>
    <w:rsid w:val="00490D49"/>
    <w:rsid w:val="0049584C"/>
    <w:rsid w:val="004A10D0"/>
    <w:rsid w:val="004A7CD0"/>
    <w:rsid w:val="004C01BA"/>
    <w:rsid w:val="004C16B8"/>
    <w:rsid w:val="004C55EE"/>
    <w:rsid w:val="004C6D25"/>
    <w:rsid w:val="004D116B"/>
    <w:rsid w:val="004D5CC1"/>
    <w:rsid w:val="004D7D20"/>
    <w:rsid w:val="004E30F0"/>
    <w:rsid w:val="004E6239"/>
    <w:rsid w:val="004F0EB4"/>
    <w:rsid w:val="004F6273"/>
    <w:rsid w:val="0050512E"/>
    <w:rsid w:val="0050593C"/>
    <w:rsid w:val="00510B7A"/>
    <w:rsid w:val="005152DF"/>
    <w:rsid w:val="00515C7E"/>
    <w:rsid w:val="00520E0B"/>
    <w:rsid w:val="00521DBD"/>
    <w:rsid w:val="00525BAC"/>
    <w:rsid w:val="00525D26"/>
    <w:rsid w:val="00533AD9"/>
    <w:rsid w:val="00536686"/>
    <w:rsid w:val="0054325D"/>
    <w:rsid w:val="00544476"/>
    <w:rsid w:val="00546374"/>
    <w:rsid w:val="00550264"/>
    <w:rsid w:val="00550E21"/>
    <w:rsid w:val="0055178F"/>
    <w:rsid w:val="00552FAB"/>
    <w:rsid w:val="005570A1"/>
    <w:rsid w:val="0056016C"/>
    <w:rsid w:val="00577EB1"/>
    <w:rsid w:val="005809A2"/>
    <w:rsid w:val="00581015"/>
    <w:rsid w:val="00586C62"/>
    <w:rsid w:val="005A352F"/>
    <w:rsid w:val="005A6857"/>
    <w:rsid w:val="005B27C5"/>
    <w:rsid w:val="005B5E97"/>
    <w:rsid w:val="005C6B6B"/>
    <w:rsid w:val="005D045F"/>
    <w:rsid w:val="005D779A"/>
    <w:rsid w:val="005E5515"/>
    <w:rsid w:val="005F2AF9"/>
    <w:rsid w:val="00600A94"/>
    <w:rsid w:val="006055A4"/>
    <w:rsid w:val="00610223"/>
    <w:rsid w:val="00612D48"/>
    <w:rsid w:val="00617F5B"/>
    <w:rsid w:val="006206EB"/>
    <w:rsid w:val="006226B0"/>
    <w:rsid w:val="006226E0"/>
    <w:rsid w:val="00623909"/>
    <w:rsid w:val="00625C99"/>
    <w:rsid w:val="006263F0"/>
    <w:rsid w:val="00627D40"/>
    <w:rsid w:val="006503E3"/>
    <w:rsid w:val="00662449"/>
    <w:rsid w:val="00662DE2"/>
    <w:rsid w:val="006666A7"/>
    <w:rsid w:val="006674C4"/>
    <w:rsid w:val="006713C0"/>
    <w:rsid w:val="0067373E"/>
    <w:rsid w:val="006766C1"/>
    <w:rsid w:val="00680807"/>
    <w:rsid w:val="00683977"/>
    <w:rsid w:val="00685E16"/>
    <w:rsid w:val="00697072"/>
    <w:rsid w:val="00697801"/>
    <w:rsid w:val="006A6EB1"/>
    <w:rsid w:val="006B06E5"/>
    <w:rsid w:val="006B0822"/>
    <w:rsid w:val="006B1007"/>
    <w:rsid w:val="006B499F"/>
    <w:rsid w:val="006B703E"/>
    <w:rsid w:val="006C6A62"/>
    <w:rsid w:val="006D4705"/>
    <w:rsid w:val="006D687F"/>
    <w:rsid w:val="006E0D32"/>
    <w:rsid w:val="006E4C2B"/>
    <w:rsid w:val="006F102C"/>
    <w:rsid w:val="006F36A6"/>
    <w:rsid w:val="006F64AC"/>
    <w:rsid w:val="00701457"/>
    <w:rsid w:val="00705F3D"/>
    <w:rsid w:val="007079AA"/>
    <w:rsid w:val="00721618"/>
    <w:rsid w:val="00722CD5"/>
    <w:rsid w:val="00723081"/>
    <w:rsid w:val="007258AE"/>
    <w:rsid w:val="0073100D"/>
    <w:rsid w:val="00744F38"/>
    <w:rsid w:val="00751D18"/>
    <w:rsid w:val="00753148"/>
    <w:rsid w:val="00754F74"/>
    <w:rsid w:val="00766290"/>
    <w:rsid w:val="00766629"/>
    <w:rsid w:val="00767230"/>
    <w:rsid w:val="00773CA5"/>
    <w:rsid w:val="007825FF"/>
    <w:rsid w:val="007848E3"/>
    <w:rsid w:val="00791F66"/>
    <w:rsid w:val="007A105D"/>
    <w:rsid w:val="007B301D"/>
    <w:rsid w:val="007C264B"/>
    <w:rsid w:val="007C334B"/>
    <w:rsid w:val="007C345D"/>
    <w:rsid w:val="007C3572"/>
    <w:rsid w:val="007C5249"/>
    <w:rsid w:val="007D2D4A"/>
    <w:rsid w:val="007D316F"/>
    <w:rsid w:val="007D4B53"/>
    <w:rsid w:val="007D6091"/>
    <w:rsid w:val="007F0B0F"/>
    <w:rsid w:val="007F35B0"/>
    <w:rsid w:val="00804090"/>
    <w:rsid w:val="00815324"/>
    <w:rsid w:val="00815817"/>
    <w:rsid w:val="00817528"/>
    <w:rsid w:val="0082094D"/>
    <w:rsid w:val="0082127E"/>
    <w:rsid w:val="00827788"/>
    <w:rsid w:val="0083290C"/>
    <w:rsid w:val="00837CC6"/>
    <w:rsid w:val="008631BD"/>
    <w:rsid w:val="00863204"/>
    <w:rsid w:val="008651B2"/>
    <w:rsid w:val="00870405"/>
    <w:rsid w:val="00871E65"/>
    <w:rsid w:val="00881D47"/>
    <w:rsid w:val="008A0F60"/>
    <w:rsid w:val="008A6AE4"/>
    <w:rsid w:val="008A783C"/>
    <w:rsid w:val="008B219B"/>
    <w:rsid w:val="008B669C"/>
    <w:rsid w:val="008C5286"/>
    <w:rsid w:val="008C6AE1"/>
    <w:rsid w:val="008C78F2"/>
    <w:rsid w:val="008D6216"/>
    <w:rsid w:val="008E1E2A"/>
    <w:rsid w:val="008E225D"/>
    <w:rsid w:val="008F60B3"/>
    <w:rsid w:val="008F6865"/>
    <w:rsid w:val="00904DF4"/>
    <w:rsid w:val="00913303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2AF2"/>
    <w:rsid w:val="00973C04"/>
    <w:rsid w:val="009756DD"/>
    <w:rsid w:val="00977DC1"/>
    <w:rsid w:val="00981D7B"/>
    <w:rsid w:val="00982108"/>
    <w:rsid w:val="00984B72"/>
    <w:rsid w:val="00986C60"/>
    <w:rsid w:val="00987796"/>
    <w:rsid w:val="00993281"/>
    <w:rsid w:val="00993F8A"/>
    <w:rsid w:val="009A2226"/>
    <w:rsid w:val="009A63B4"/>
    <w:rsid w:val="009B53E3"/>
    <w:rsid w:val="009C2300"/>
    <w:rsid w:val="009C4C5F"/>
    <w:rsid w:val="009E495B"/>
    <w:rsid w:val="009E4F68"/>
    <w:rsid w:val="009E785D"/>
    <w:rsid w:val="009F07C0"/>
    <w:rsid w:val="009F4055"/>
    <w:rsid w:val="009F78FB"/>
    <w:rsid w:val="00A0320E"/>
    <w:rsid w:val="00A11A3C"/>
    <w:rsid w:val="00A11F40"/>
    <w:rsid w:val="00A144C1"/>
    <w:rsid w:val="00A161A6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1C81"/>
    <w:rsid w:val="00A536C6"/>
    <w:rsid w:val="00A67AF0"/>
    <w:rsid w:val="00A73B08"/>
    <w:rsid w:val="00A810DA"/>
    <w:rsid w:val="00A9074B"/>
    <w:rsid w:val="00A91BAA"/>
    <w:rsid w:val="00A946D1"/>
    <w:rsid w:val="00A94E9E"/>
    <w:rsid w:val="00AA11D3"/>
    <w:rsid w:val="00AA1B48"/>
    <w:rsid w:val="00AA317C"/>
    <w:rsid w:val="00AA4EF8"/>
    <w:rsid w:val="00AC3E5A"/>
    <w:rsid w:val="00AC49B6"/>
    <w:rsid w:val="00AD55EE"/>
    <w:rsid w:val="00AD6603"/>
    <w:rsid w:val="00AE5284"/>
    <w:rsid w:val="00AE79AA"/>
    <w:rsid w:val="00B0413E"/>
    <w:rsid w:val="00B06A2B"/>
    <w:rsid w:val="00B070D8"/>
    <w:rsid w:val="00B156C2"/>
    <w:rsid w:val="00B22D3A"/>
    <w:rsid w:val="00B3482C"/>
    <w:rsid w:val="00B35326"/>
    <w:rsid w:val="00B37098"/>
    <w:rsid w:val="00B43E5B"/>
    <w:rsid w:val="00B506D4"/>
    <w:rsid w:val="00B51420"/>
    <w:rsid w:val="00B52FAD"/>
    <w:rsid w:val="00B54613"/>
    <w:rsid w:val="00B60EC4"/>
    <w:rsid w:val="00B64FE9"/>
    <w:rsid w:val="00B700D9"/>
    <w:rsid w:val="00B729AB"/>
    <w:rsid w:val="00B7524B"/>
    <w:rsid w:val="00B767B9"/>
    <w:rsid w:val="00B82412"/>
    <w:rsid w:val="00B85CFB"/>
    <w:rsid w:val="00B94809"/>
    <w:rsid w:val="00B975D5"/>
    <w:rsid w:val="00BA5369"/>
    <w:rsid w:val="00BA738A"/>
    <w:rsid w:val="00BB32D1"/>
    <w:rsid w:val="00BB33EE"/>
    <w:rsid w:val="00BC04EB"/>
    <w:rsid w:val="00BC1069"/>
    <w:rsid w:val="00BC67C6"/>
    <w:rsid w:val="00BE55EF"/>
    <w:rsid w:val="00BE601F"/>
    <w:rsid w:val="00BF01E4"/>
    <w:rsid w:val="00BF16B2"/>
    <w:rsid w:val="00BF4DA7"/>
    <w:rsid w:val="00BF5919"/>
    <w:rsid w:val="00BF70A8"/>
    <w:rsid w:val="00C012A8"/>
    <w:rsid w:val="00C012AC"/>
    <w:rsid w:val="00C01C65"/>
    <w:rsid w:val="00C03397"/>
    <w:rsid w:val="00C10417"/>
    <w:rsid w:val="00C104AD"/>
    <w:rsid w:val="00C417FF"/>
    <w:rsid w:val="00C610A5"/>
    <w:rsid w:val="00C6241A"/>
    <w:rsid w:val="00C70767"/>
    <w:rsid w:val="00C70C49"/>
    <w:rsid w:val="00C72DD6"/>
    <w:rsid w:val="00C7688A"/>
    <w:rsid w:val="00C80131"/>
    <w:rsid w:val="00C87313"/>
    <w:rsid w:val="00C90D48"/>
    <w:rsid w:val="00CA5A05"/>
    <w:rsid w:val="00CA6586"/>
    <w:rsid w:val="00CB54C9"/>
    <w:rsid w:val="00CC190C"/>
    <w:rsid w:val="00CC49AC"/>
    <w:rsid w:val="00CC68A0"/>
    <w:rsid w:val="00CD7975"/>
    <w:rsid w:val="00CF0510"/>
    <w:rsid w:val="00CF1E11"/>
    <w:rsid w:val="00D0225B"/>
    <w:rsid w:val="00D03073"/>
    <w:rsid w:val="00D04484"/>
    <w:rsid w:val="00D114B1"/>
    <w:rsid w:val="00D142D7"/>
    <w:rsid w:val="00D21F36"/>
    <w:rsid w:val="00D27656"/>
    <w:rsid w:val="00D41FDB"/>
    <w:rsid w:val="00D4668D"/>
    <w:rsid w:val="00D46BC3"/>
    <w:rsid w:val="00D46D7B"/>
    <w:rsid w:val="00D52541"/>
    <w:rsid w:val="00D54B63"/>
    <w:rsid w:val="00D644F9"/>
    <w:rsid w:val="00D66268"/>
    <w:rsid w:val="00D73F1A"/>
    <w:rsid w:val="00D75543"/>
    <w:rsid w:val="00D75FFA"/>
    <w:rsid w:val="00D80E8C"/>
    <w:rsid w:val="00D90F87"/>
    <w:rsid w:val="00D934BC"/>
    <w:rsid w:val="00D93506"/>
    <w:rsid w:val="00DA229C"/>
    <w:rsid w:val="00DA5838"/>
    <w:rsid w:val="00DA69C3"/>
    <w:rsid w:val="00DB1146"/>
    <w:rsid w:val="00DB5DEB"/>
    <w:rsid w:val="00DC01A0"/>
    <w:rsid w:val="00DC13DC"/>
    <w:rsid w:val="00DC27B4"/>
    <w:rsid w:val="00DC7B63"/>
    <w:rsid w:val="00DD27E9"/>
    <w:rsid w:val="00DD2DE4"/>
    <w:rsid w:val="00DD60F9"/>
    <w:rsid w:val="00DE2ACC"/>
    <w:rsid w:val="00DE3524"/>
    <w:rsid w:val="00DE66BD"/>
    <w:rsid w:val="00DF12C9"/>
    <w:rsid w:val="00DF13C3"/>
    <w:rsid w:val="00DF3667"/>
    <w:rsid w:val="00DF7452"/>
    <w:rsid w:val="00E00879"/>
    <w:rsid w:val="00E032CF"/>
    <w:rsid w:val="00E05452"/>
    <w:rsid w:val="00E076AB"/>
    <w:rsid w:val="00E10AAB"/>
    <w:rsid w:val="00E11167"/>
    <w:rsid w:val="00E11E23"/>
    <w:rsid w:val="00E1343E"/>
    <w:rsid w:val="00E15D48"/>
    <w:rsid w:val="00E15E96"/>
    <w:rsid w:val="00E23B9A"/>
    <w:rsid w:val="00E3006E"/>
    <w:rsid w:val="00E336BD"/>
    <w:rsid w:val="00E417B3"/>
    <w:rsid w:val="00E43CCE"/>
    <w:rsid w:val="00E45F48"/>
    <w:rsid w:val="00E45F9B"/>
    <w:rsid w:val="00E46B05"/>
    <w:rsid w:val="00E4792B"/>
    <w:rsid w:val="00E51102"/>
    <w:rsid w:val="00E548F3"/>
    <w:rsid w:val="00E561A1"/>
    <w:rsid w:val="00E5696F"/>
    <w:rsid w:val="00E57561"/>
    <w:rsid w:val="00E60389"/>
    <w:rsid w:val="00E61E0B"/>
    <w:rsid w:val="00E63F36"/>
    <w:rsid w:val="00E67DC5"/>
    <w:rsid w:val="00E70339"/>
    <w:rsid w:val="00E72118"/>
    <w:rsid w:val="00E74262"/>
    <w:rsid w:val="00E76E73"/>
    <w:rsid w:val="00E776E8"/>
    <w:rsid w:val="00E82B9F"/>
    <w:rsid w:val="00E83C25"/>
    <w:rsid w:val="00E93C76"/>
    <w:rsid w:val="00E95326"/>
    <w:rsid w:val="00E96704"/>
    <w:rsid w:val="00EA0C46"/>
    <w:rsid w:val="00EA2B50"/>
    <w:rsid w:val="00EA3D6A"/>
    <w:rsid w:val="00EA4080"/>
    <w:rsid w:val="00EB2114"/>
    <w:rsid w:val="00EB3246"/>
    <w:rsid w:val="00EB4DC3"/>
    <w:rsid w:val="00EC5121"/>
    <w:rsid w:val="00ED5AAE"/>
    <w:rsid w:val="00ED5B40"/>
    <w:rsid w:val="00EE4469"/>
    <w:rsid w:val="00EE4FF4"/>
    <w:rsid w:val="00EE757B"/>
    <w:rsid w:val="00EE772F"/>
    <w:rsid w:val="00EF2F70"/>
    <w:rsid w:val="00EF6D42"/>
    <w:rsid w:val="00EF6DFD"/>
    <w:rsid w:val="00F05D24"/>
    <w:rsid w:val="00F34F20"/>
    <w:rsid w:val="00F41C31"/>
    <w:rsid w:val="00F46A75"/>
    <w:rsid w:val="00F5090F"/>
    <w:rsid w:val="00F5498F"/>
    <w:rsid w:val="00F57A18"/>
    <w:rsid w:val="00F57C36"/>
    <w:rsid w:val="00F7208B"/>
    <w:rsid w:val="00F73388"/>
    <w:rsid w:val="00F75CEE"/>
    <w:rsid w:val="00F82CC8"/>
    <w:rsid w:val="00F84857"/>
    <w:rsid w:val="00F84E28"/>
    <w:rsid w:val="00F90CC7"/>
    <w:rsid w:val="00F91199"/>
    <w:rsid w:val="00F92B24"/>
    <w:rsid w:val="00F938A9"/>
    <w:rsid w:val="00FA2134"/>
    <w:rsid w:val="00FA789A"/>
    <w:rsid w:val="00FB7059"/>
    <w:rsid w:val="00FB730D"/>
    <w:rsid w:val="00FC7759"/>
    <w:rsid w:val="00FD1755"/>
    <w:rsid w:val="00FD1F87"/>
    <w:rsid w:val="00FD356B"/>
    <w:rsid w:val="00FD4763"/>
    <w:rsid w:val="00FD4947"/>
    <w:rsid w:val="00FD56DB"/>
    <w:rsid w:val="00FF0C39"/>
    <w:rsid w:val="00FF3915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8DC6FA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,Normal bullet 2,Bullet list,List Paragraph1,Strip,body,Odsek zoznamu2,Saistīto dokumentu saraksts,Syle 1,Numurets,H&amp;P List Paragraph,List Paragraph11,OBC Bullet,Bullet Style,L,Numbered Para 1,Dot pt,No Spacing1"/>
    <w:basedOn w:val="Normal"/>
    <w:link w:val="ListParagraphChar"/>
    <w:uiPriority w:val="34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,Normal bullet 2 Char,Bullet list Char,List Paragraph1 Char,Strip Char,body Char,Odsek zoznamu2 Char,Saistīto dokumentu saraksts Char,Syle 1 Char,Numurets Char,H&amp;P List Paragraph Char,OBC Bullet Char"/>
    <w:link w:val="ListParagraph"/>
    <w:uiPriority w:val="34"/>
    <w:qFormat/>
    <w:locked/>
    <w:rsid w:val="00A4320C"/>
  </w:style>
  <w:style w:type="paragraph" w:customStyle="1" w:styleId="tv213">
    <w:name w:val="tv213"/>
    <w:basedOn w:val="Normal"/>
    <w:rsid w:val="00AA4EF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9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C3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C3"/>
    <w:rPr>
      <w:rFonts w:eastAsia="Calibri" w:cs="Times New Roman"/>
      <w:b/>
      <w:bCs/>
      <w:sz w:val="20"/>
      <w:szCs w:val="20"/>
    </w:rPr>
  </w:style>
  <w:style w:type="paragraph" w:customStyle="1" w:styleId="Body">
    <w:name w:val="Body"/>
    <w:rsid w:val="007D6091"/>
    <w:pPr>
      <w:ind w:firstLine="0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9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214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2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214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9769-5D5D-4689-A71D-67AC8B6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Leontine Babkina</cp:lastModifiedBy>
  <cp:revision>27</cp:revision>
  <cp:lastPrinted>2020-12-09T11:20:00Z</cp:lastPrinted>
  <dcterms:created xsi:type="dcterms:W3CDTF">2020-12-15T07:05:00Z</dcterms:created>
  <dcterms:modified xsi:type="dcterms:W3CDTF">2020-12-21T14:04:00Z</dcterms:modified>
</cp:coreProperties>
</file>